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64" w:rsidRPr="009E4D64" w:rsidRDefault="009E4D64" w:rsidP="009E4D6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</w:t>
      </w:r>
      <w:r w:rsidRPr="009E4D64">
        <w:rPr>
          <w:b/>
          <w:sz w:val="32"/>
          <w:szCs w:val="32"/>
        </w:rPr>
        <w:t>ating</w:t>
      </w:r>
      <w:proofErr w:type="spellEnd"/>
    </w:p>
    <w:p w:rsidR="009E4D64" w:rsidRDefault="009E4D64" w:rsidP="009E4D64">
      <w:pPr>
        <w:ind w:left="720"/>
        <w:jc w:val="both"/>
      </w:pPr>
    </w:p>
    <w:p w:rsidR="00AE6254" w:rsidRDefault="009D018D" w:rsidP="00406F46">
      <w:pPr>
        <w:numPr>
          <w:ilvl w:val="0"/>
          <w:numId w:val="1"/>
        </w:numPr>
        <w:jc w:val="both"/>
      </w:pPr>
      <w:r>
        <w:t xml:space="preserve">Oprocentowanie pożyczki będzie określane w oparciu o </w:t>
      </w:r>
      <w:proofErr w:type="spellStart"/>
      <w:r>
        <w:t>rating</w:t>
      </w:r>
      <w:proofErr w:type="spellEnd"/>
      <w:r>
        <w:t xml:space="preserve"> przedsiębiorcy oraz siłę zabezpieczeń jakie zostaną przez niego ustanowione.</w:t>
      </w:r>
    </w:p>
    <w:p w:rsidR="009D018D" w:rsidRDefault="009D018D" w:rsidP="003F4729">
      <w:pPr>
        <w:numPr>
          <w:ilvl w:val="0"/>
          <w:numId w:val="1"/>
        </w:numPr>
        <w:jc w:val="both"/>
      </w:pPr>
      <w:proofErr w:type="spellStart"/>
      <w:r>
        <w:t>Rating</w:t>
      </w:r>
      <w:proofErr w:type="spellEnd"/>
      <w:r>
        <w:t xml:space="preserve"> przedsiębiorcy będzie wyznaczany w oparciu o następujące wskaźniki ekonomiczne oraz jakościowe:</w:t>
      </w:r>
    </w:p>
    <w:p w:rsidR="009D018D" w:rsidRDefault="00E4722D" w:rsidP="003F4729">
      <w:pPr>
        <w:numPr>
          <w:ilvl w:val="1"/>
          <w:numId w:val="1"/>
        </w:numPr>
        <w:jc w:val="both"/>
      </w:pPr>
      <w:r>
        <w:t>Czas trwania przedsięwzięcia</w:t>
      </w:r>
    </w:p>
    <w:p w:rsidR="00E4722D" w:rsidRDefault="00E4722D" w:rsidP="003F4729">
      <w:pPr>
        <w:numPr>
          <w:ilvl w:val="1"/>
          <w:numId w:val="1"/>
        </w:numPr>
        <w:jc w:val="both"/>
      </w:pPr>
      <w:r>
        <w:t>Rentowność brutto przedsięwzięcia liczona jako stosunek zysku brutto do przychodów.</w:t>
      </w:r>
    </w:p>
    <w:p w:rsidR="00E4722D" w:rsidRDefault="00E4722D" w:rsidP="003F4729">
      <w:pPr>
        <w:numPr>
          <w:ilvl w:val="1"/>
          <w:numId w:val="1"/>
        </w:numPr>
        <w:jc w:val="both"/>
      </w:pPr>
      <w:r>
        <w:t>Płynność wewnętrzna firmy liczona jako stosunek sumy zysku netto oraz amortyzacji do bieżących zobowiązań wnioskodawcy.</w:t>
      </w:r>
    </w:p>
    <w:p w:rsidR="00E4722D" w:rsidRDefault="00E4722D" w:rsidP="003F4729">
      <w:pPr>
        <w:numPr>
          <w:ilvl w:val="1"/>
          <w:numId w:val="1"/>
        </w:numPr>
        <w:jc w:val="both"/>
      </w:pPr>
      <w:r>
        <w:t xml:space="preserve">Solidność klienta traktowana jako opinia Funduszu Pożyczkowego, czy banku o kliencie. </w:t>
      </w:r>
      <w:r w:rsidR="003627B9">
        <w:t xml:space="preserve">W przypadku braku jakichkolwiek informacji o wnioskodawcy otrzyma on średnią arytmetyczną wszystkich ocen czyli </w:t>
      </w:r>
      <w:r w:rsidR="003627B9" w:rsidRPr="003627B9">
        <w:rPr>
          <w:b/>
        </w:rPr>
        <w:t>notę 3</w:t>
      </w:r>
      <w:r w:rsidR="003627B9">
        <w:t xml:space="preserve"> – </w:t>
      </w:r>
      <w:r w:rsidR="003627B9" w:rsidRPr="00406F46">
        <w:rPr>
          <w:b/>
          <w:i/>
        </w:rPr>
        <w:t>(1+2+3+4+5)/5</w:t>
      </w:r>
    </w:p>
    <w:p w:rsidR="00451B4F" w:rsidRDefault="00E4722D" w:rsidP="003F4729">
      <w:pPr>
        <w:numPr>
          <w:ilvl w:val="0"/>
          <w:numId w:val="1"/>
        </w:numPr>
        <w:jc w:val="both"/>
      </w:pPr>
      <w:r>
        <w:t xml:space="preserve">W wyniku przeprowadzonej analizy klient może otrzymać następującą </w:t>
      </w:r>
      <w:r w:rsidR="003F4729">
        <w:t>kategorię</w:t>
      </w:r>
      <w:r>
        <w:t xml:space="preserve"> </w:t>
      </w:r>
      <w:proofErr w:type="spellStart"/>
      <w:r>
        <w:t>ratingową</w:t>
      </w:r>
      <w:proofErr w:type="spellEnd"/>
      <w:r>
        <w:t>:</w:t>
      </w:r>
    </w:p>
    <w:p w:rsidR="00E4722D" w:rsidRDefault="00DA7967" w:rsidP="003F4729">
      <w:pPr>
        <w:numPr>
          <w:ilvl w:val="1"/>
          <w:numId w:val="1"/>
        </w:numPr>
        <w:jc w:val="both"/>
      </w:pPr>
      <w:r>
        <w:t>Wysoki (</w:t>
      </w:r>
      <w:proofErr w:type="spellStart"/>
      <w:r>
        <w:t>AAA-A</w:t>
      </w:r>
      <w:proofErr w:type="spellEnd"/>
      <w:r>
        <w:t>)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Dobry (BBB)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Zadowalający (BB)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Niski (B)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Zły/Trudności finansowe (CCC i poniżej)</w:t>
      </w:r>
    </w:p>
    <w:p w:rsidR="00E4722D" w:rsidRDefault="003F4729" w:rsidP="003F4729">
      <w:pPr>
        <w:numPr>
          <w:ilvl w:val="0"/>
          <w:numId w:val="1"/>
        </w:numPr>
        <w:jc w:val="both"/>
      </w:pPr>
      <w:r>
        <w:t xml:space="preserve">O zakwalifikowaniu do danej kategorii </w:t>
      </w:r>
      <w:proofErr w:type="spellStart"/>
      <w:r>
        <w:t>ratingowej</w:t>
      </w:r>
      <w:proofErr w:type="spellEnd"/>
      <w:r>
        <w:t xml:space="preserve"> będzie decydować łączna nota uzyskana ze wskaźników opisanych w </w:t>
      </w:r>
      <w:r w:rsidRPr="00406F46">
        <w:rPr>
          <w:b/>
          <w:i/>
        </w:rPr>
        <w:t>punkcie 2</w:t>
      </w:r>
      <w:r>
        <w:t>.</w:t>
      </w:r>
    </w:p>
    <w:p w:rsidR="003F4729" w:rsidRDefault="003F4729" w:rsidP="003F4729">
      <w:pPr>
        <w:numPr>
          <w:ilvl w:val="0"/>
          <w:numId w:val="1"/>
        </w:numPr>
        <w:jc w:val="both"/>
      </w:pPr>
      <w:r>
        <w:t xml:space="preserve">Każdej zmiennej wymienionej w </w:t>
      </w:r>
      <w:r w:rsidRPr="00406F46">
        <w:rPr>
          <w:b/>
          <w:i/>
        </w:rPr>
        <w:t>punkcie 2</w:t>
      </w:r>
      <w:r>
        <w:t xml:space="preserve"> zostanie przypisana odpowiednia </w:t>
      </w:r>
      <w:r w:rsidR="00F16A5F">
        <w:t>wartość punktowa</w:t>
      </w:r>
      <w:r>
        <w:t xml:space="preserve"> z przedziału od </w:t>
      </w:r>
      <w:r w:rsidRPr="00406F46">
        <w:rPr>
          <w:b/>
          <w:i/>
        </w:rPr>
        <w:t>1</w:t>
      </w:r>
      <w:r>
        <w:t xml:space="preserve"> do </w:t>
      </w:r>
      <w:r w:rsidRPr="00406F46">
        <w:rPr>
          <w:b/>
          <w:i/>
        </w:rPr>
        <w:t>5</w:t>
      </w:r>
      <w:r>
        <w:t xml:space="preserve">, według klucza określonego w </w:t>
      </w:r>
      <w:r w:rsidRPr="00406F46">
        <w:rPr>
          <w:b/>
          <w:i/>
        </w:rPr>
        <w:t xml:space="preserve">punkcie </w:t>
      </w:r>
      <w:smartTag w:uri="urn:schemas-microsoft-com:office:smarttags" w:element="metricconverter">
        <w:smartTagPr>
          <w:attr w:name="ProductID" w:val="6, a"/>
        </w:smartTagPr>
        <w:r w:rsidRPr="00406F46">
          <w:rPr>
            <w:b/>
            <w:i/>
          </w:rPr>
          <w:t>6</w:t>
        </w:r>
        <w:r>
          <w:t>, a</w:t>
        </w:r>
      </w:smartTag>
      <w:r>
        <w:t xml:space="preserve"> ich średnia arytmetyczna </w:t>
      </w:r>
      <w:r w:rsidR="00F16A5F">
        <w:t>będzie stanowić końcową ocen</w:t>
      </w:r>
      <w:r w:rsidR="009B4AA9">
        <w:t>ę</w:t>
      </w:r>
      <w:r>
        <w:t xml:space="preserve">, według której zostanie wyznaczony </w:t>
      </w:r>
      <w:proofErr w:type="spellStart"/>
      <w:r>
        <w:t>rating</w:t>
      </w:r>
      <w:proofErr w:type="spellEnd"/>
      <w:r>
        <w:t xml:space="preserve"> firmy według poniższego schematu: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Wysoki – nota z przedziału (4,75; 5&gt;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Dobry – nota z przedziału (3,75; 4,75&gt;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Zadowalający – nota z przedziału (2,75; 3,75&gt;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Niski – nota z przedziału (1,75; 2,75&gt;</w:t>
      </w:r>
    </w:p>
    <w:p w:rsidR="003F4729" w:rsidRDefault="003F4729" w:rsidP="003F4729">
      <w:pPr>
        <w:numPr>
          <w:ilvl w:val="1"/>
          <w:numId w:val="1"/>
        </w:numPr>
        <w:jc w:val="both"/>
      </w:pPr>
      <w:r>
        <w:t>Zły – nota niż</w:t>
      </w:r>
      <w:r w:rsidR="00F16A5F">
        <w:t>sza</w:t>
      </w:r>
      <w:r>
        <w:t xml:space="preserve"> lub równa 1,75</w:t>
      </w:r>
    </w:p>
    <w:p w:rsidR="003F4729" w:rsidRDefault="00776967" w:rsidP="003F4729">
      <w:pPr>
        <w:numPr>
          <w:ilvl w:val="0"/>
          <w:numId w:val="1"/>
        </w:numPr>
        <w:jc w:val="both"/>
      </w:pPr>
      <w:r>
        <w:t>Firma może otrzymać następujące noty w każdej kategorii za spełnienie określonych warunków:</w:t>
      </w:r>
    </w:p>
    <w:p w:rsidR="00776967" w:rsidRDefault="00776967" w:rsidP="00776967">
      <w:pPr>
        <w:numPr>
          <w:ilvl w:val="1"/>
          <w:numId w:val="1"/>
        </w:numPr>
        <w:jc w:val="both"/>
      </w:pPr>
      <w:r>
        <w:t>Czas trwania firmy:</w:t>
      </w:r>
    </w:p>
    <w:p w:rsidR="00776967" w:rsidRDefault="00776967" w:rsidP="00776967">
      <w:pPr>
        <w:numPr>
          <w:ilvl w:val="2"/>
          <w:numId w:val="1"/>
        </w:numPr>
        <w:jc w:val="both"/>
      </w:pPr>
      <w:r>
        <w:t xml:space="preserve">Starter oraz firma do 6 miesięcy działalności – licząc </w:t>
      </w:r>
      <w:r w:rsidRPr="00776967">
        <w:t>od dnia zarejestrowania działalności gospodarczej lub spółki w odpowiednich organach, do dnia zarejestrowania wniosku w Funduszu</w:t>
      </w:r>
      <w:r>
        <w:t xml:space="preserve"> – </w:t>
      </w:r>
      <w:r w:rsidRPr="00776967">
        <w:rPr>
          <w:b/>
        </w:rPr>
        <w:t>nota 1</w:t>
      </w:r>
    </w:p>
    <w:p w:rsidR="00776967" w:rsidRDefault="00776967" w:rsidP="00776967">
      <w:pPr>
        <w:numPr>
          <w:ilvl w:val="2"/>
          <w:numId w:val="1"/>
        </w:numPr>
        <w:jc w:val="both"/>
      </w:pPr>
      <w:r>
        <w:t xml:space="preserve">Firma istniejąca nie dłużej niż 12 miesięcy – licząc </w:t>
      </w:r>
      <w:r w:rsidRPr="00776967">
        <w:t>od dnia zarejestrowania działalności gospodarczej lub spółki w odpowiednich organach, do dnia zarejestrowania wniosku w Funduszu</w:t>
      </w:r>
      <w:r>
        <w:t xml:space="preserve"> – </w:t>
      </w:r>
      <w:r w:rsidRPr="00776967">
        <w:rPr>
          <w:b/>
        </w:rPr>
        <w:t xml:space="preserve">nota </w:t>
      </w:r>
      <w:r>
        <w:rPr>
          <w:b/>
        </w:rPr>
        <w:t>2</w:t>
      </w:r>
    </w:p>
    <w:p w:rsidR="00776967" w:rsidRDefault="00776967" w:rsidP="00776967">
      <w:pPr>
        <w:numPr>
          <w:ilvl w:val="2"/>
          <w:numId w:val="1"/>
        </w:numPr>
        <w:jc w:val="both"/>
      </w:pPr>
      <w:r>
        <w:lastRenderedPageBreak/>
        <w:t xml:space="preserve">Firma istniejąca nie dłużej niż 24 miesiące – licząc </w:t>
      </w:r>
      <w:r w:rsidRPr="00776967">
        <w:t>od dnia zarejestrowania działalności gospodarczej lub spółki w odpowiednich organach, do dnia zarejestrowania wniosku w Funduszu</w:t>
      </w:r>
      <w:r>
        <w:t xml:space="preserve"> – </w:t>
      </w:r>
      <w:r w:rsidRPr="00776967">
        <w:rPr>
          <w:b/>
        </w:rPr>
        <w:t xml:space="preserve">nota </w:t>
      </w:r>
      <w:r>
        <w:rPr>
          <w:b/>
        </w:rPr>
        <w:t>3</w:t>
      </w:r>
    </w:p>
    <w:p w:rsidR="00776967" w:rsidRDefault="00776967" w:rsidP="00776967">
      <w:pPr>
        <w:numPr>
          <w:ilvl w:val="2"/>
          <w:numId w:val="1"/>
        </w:numPr>
        <w:jc w:val="both"/>
      </w:pPr>
      <w:r>
        <w:t xml:space="preserve">Firma istniejąca nie dłużej niż 36 miesięcy – licząc </w:t>
      </w:r>
      <w:r w:rsidRPr="00776967">
        <w:t>od dnia zarejestrowania działalności gospodarczej lub spółki w odpowiednich organach, do dnia zarejestrowania wniosku w Funduszu</w:t>
      </w:r>
      <w:r>
        <w:t xml:space="preserve"> – </w:t>
      </w:r>
      <w:r w:rsidRPr="00776967">
        <w:rPr>
          <w:b/>
        </w:rPr>
        <w:t xml:space="preserve">nota </w:t>
      </w:r>
      <w:r>
        <w:rPr>
          <w:b/>
        </w:rPr>
        <w:t>4</w:t>
      </w:r>
    </w:p>
    <w:p w:rsidR="00776967" w:rsidRDefault="00776967" w:rsidP="00776967">
      <w:pPr>
        <w:numPr>
          <w:ilvl w:val="2"/>
          <w:numId w:val="1"/>
        </w:numPr>
        <w:jc w:val="both"/>
      </w:pPr>
      <w:r>
        <w:t xml:space="preserve">Firma istniejąca 36 miesięcy lub dłużej – licząc </w:t>
      </w:r>
      <w:r w:rsidRPr="00776967">
        <w:t>od dnia zarejestrowania działalności gospodarczej lub spółki w odpowiednich organach, do dnia zarejestrowania wniosku w Funduszu</w:t>
      </w:r>
      <w:r>
        <w:t xml:space="preserve"> – </w:t>
      </w:r>
      <w:r w:rsidRPr="00776967">
        <w:rPr>
          <w:b/>
        </w:rPr>
        <w:t xml:space="preserve">nota </w:t>
      </w:r>
      <w:r>
        <w:rPr>
          <w:b/>
        </w:rPr>
        <w:t>5</w:t>
      </w:r>
    </w:p>
    <w:p w:rsidR="00776967" w:rsidRDefault="00776967" w:rsidP="00776967">
      <w:pPr>
        <w:numPr>
          <w:ilvl w:val="1"/>
          <w:numId w:val="1"/>
        </w:numPr>
        <w:jc w:val="both"/>
      </w:pPr>
      <w:r>
        <w:t>Rentowność brutto:</w:t>
      </w:r>
    </w:p>
    <w:p w:rsidR="00776967" w:rsidRDefault="002B00D3" w:rsidP="00776967">
      <w:pPr>
        <w:numPr>
          <w:ilvl w:val="2"/>
          <w:numId w:val="1"/>
        </w:numPr>
        <w:jc w:val="both"/>
      </w:pPr>
      <w:r>
        <w:t xml:space="preserve">Ujemna – spowodowana zbyt niskimi przychodami </w:t>
      </w:r>
      <w:proofErr w:type="spellStart"/>
      <w:r>
        <w:t>niewystarczjacymi</w:t>
      </w:r>
      <w:proofErr w:type="spellEnd"/>
      <w:r>
        <w:t xml:space="preserve"> do pokrycia bieżących kosztów działalności</w:t>
      </w:r>
      <w:r w:rsidR="00776967">
        <w:t xml:space="preserve">– </w:t>
      </w:r>
      <w:r w:rsidR="00776967" w:rsidRPr="00776967">
        <w:rPr>
          <w:b/>
        </w:rPr>
        <w:t>nota 1</w:t>
      </w:r>
    </w:p>
    <w:p w:rsidR="00776967" w:rsidRDefault="00776967" w:rsidP="00776967">
      <w:pPr>
        <w:numPr>
          <w:ilvl w:val="2"/>
          <w:numId w:val="1"/>
        </w:numPr>
        <w:jc w:val="both"/>
      </w:pPr>
      <w:r>
        <w:t xml:space="preserve">Ujemna – spowodowana poczynionymi inwestycjami </w:t>
      </w:r>
      <w:r w:rsidR="00311286">
        <w:t>i rentowność n</w:t>
      </w:r>
      <w:r>
        <w:t>ie większa niż 5 %</w:t>
      </w:r>
      <w:r w:rsidR="00311286">
        <w:t xml:space="preserve"> </w:t>
      </w:r>
      <w:r>
        <w:t xml:space="preserve">– </w:t>
      </w:r>
      <w:r w:rsidRPr="003627B9">
        <w:rPr>
          <w:b/>
        </w:rPr>
        <w:t>nota 2</w:t>
      </w:r>
    </w:p>
    <w:p w:rsidR="00776967" w:rsidRDefault="00311286" w:rsidP="00776967">
      <w:pPr>
        <w:numPr>
          <w:ilvl w:val="2"/>
          <w:numId w:val="1"/>
        </w:numPr>
        <w:jc w:val="both"/>
      </w:pPr>
      <w:r>
        <w:t>Z przedziału &lt;5%;</w:t>
      </w:r>
      <w:r w:rsidR="00776967">
        <w:t xml:space="preserve"> 10 %</w:t>
      </w:r>
      <w:r>
        <w:t>)</w:t>
      </w:r>
      <w:r w:rsidR="00776967">
        <w:t xml:space="preserve"> - </w:t>
      </w:r>
      <w:r w:rsidR="00776967" w:rsidRPr="003627B9">
        <w:rPr>
          <w:b/>
        </w:rPr>
        <w:t>nota 3</w:t>
      </w:r>
      <w:r w:rsidR="003627B9">
        <w:t xml:space="preserve"> </w:t>
      </w:r>
    </w:p>
    <w:p w:rsidR="00776967" w:rsidRDefault="00311286" w:rsidP="00776967">
      <w:pPr>
        <w:numPr>
          <w:ilvl w:val="2"/>
          <w:numId w:val="1"/>
        </w:numPr>
        <w:jc w:val="both"/>
      </w:pPr>
      <w:r>
        <w:t>Z przedziału &lt;10%;</w:t>
      </w:r>
      <w:r w:rsidR="00776967">
        <w:t xml:space="preserve"> 15 %</w:t>
      </w:r>
      <w:r>
        <w:t>&gt;</w:t>
      </w:r>
      <w:r w:rsidR="00776967">
        <w:t xml:space="preserve"> - </w:t>
      </w:r>
      <w:r w:rsidR="00776967" w:rsidRPr="003627B9">
        <w:rPr>
          <w:b/>
        </w:rPr>
        <w:t>nota 4</w:t>
      </w:r>
      <w:r w:rsidR="003627B9">
        <w:t xml:space="preserve"> </w:t>
      </w:r>
    </w:p>
    <w:p w:rsidR="00776967" w:rsidRDefault="00776967" w:rsidP="00776967">
      <w:pPr>
        <w:numPr>
          <w:ilvl w:val="2"/>
          <w:numId w:val="1"/>
        </w:numPr>
        <w:jc w:val="both"/>
      </w:pPr>
      <w:r>
        <w:t xml:space="preserve">Powyżej 15 % - </w:t>
      </w:r>
      <w:r w:rsidRPr="003627B9">
        <w:rPr>
          <w:b/>
        </w:rPr>
        <w:t>nota 5</w:t>
      </w:r>
      <w:r w:rsidR="003627B9">
        <w:t xml:space="preserve"> </w:t>
      </w:r>
    </w:p>
    <w:p w:rsidR="00776967" w:rsidRDefault="003627B9" w:rsidP="00776967">
      <w:pPr>
        <w:numPr>
          <w:ilvl w:val="1"/>
          <w:numId w:val="1"/>
        </w:numPr>
        <w:jc w:val="both"/>
      </w:pPr>
      <w:r>
        <w:t>Płynność wewnętrzna:</w:t>
      </w:r>
    </w:p>
    <w:p w:rsidR="003627B9" w:rsidRDefault="003627B9" w:rsidP="003627B9">
      <w:pPr>
        <w:numPr>
          <w:ilvl w:val="2"/>
          <w:numId w:val="1"/>
        </w:numPr>
        <w:jc w:val="both"/>
      </w:pPr>
      <w:r>
        <w:t xml:space="preserve">Nie większa niż 1,4 – </w:t>
      </w:r>
      <w:r w:rsidRPr="003627B9">
        <w:rPr>
          <w:b/>
        </w:rPr>
        <w:t>nota 1</w:t>
      </w:r>
    </w:p>
    <w:p w:rsidR="003627B9" w:rsidRDefault="003627B9" w:rsidP="003627B9">
      <w:pPr>
        <w:numPr>
          <w:ilvl w:val="2"/>
          <w:numId w:val="1"/>
        </w:numPr>
        <w:jc w:val="both"/>
      </w:pPr>
      <w:r>
        <w:t xml:space="preserve">Nie większa niż 1,6 – </w:t>
      </w:r>
      <w:r w:rsidRPr="003627B9">
        <w:rPr>
          <w:b/>
        </w:rPr>
        <w:t>nota 2</w:t>
      </w:r>
    </w:p>
    <w:p w:rsidR="003627B9" w:rsidRDefault="003627B9" w:rsidP="003627B9">
      <w:pPr>
        <w:numPr>
          <w:ilvl w:val="2"/>
          <w:numId w:val="1"/>
        </w:numPr>
        <w:jc w:val="both"/>
      </w:pPr>
      <w:r>
        <w:t xml:space="preserve">Nie większa niż 1,8 – </w:t>
      </w:r>
      <w:r w:rsidRPr="003627B9">
        <w:rPr>
          <w:b/>
        </w:rPr>
        <w:t>nota 3</w:t>
      </w:r>
    </w:p>
    <w:p w:rsidR="003627B9" w:rsidRDefault="003627B9" w:rsidP="003627B9">
      <w:pPr>
        <w:numPr>
          <w:ilvl w:val="2"/>
          <w:numId w:val="1"/>
        </w:numPr>
        <w:jc w:val="both"/>
      </w:pPr>
      <w:r>
        <w:t xml:space="preserve">Nie większa niż 2,0 – </w:t>
      </w:r>
      <w:r w:rsidRPr="003627B9">
        <w:rPr>
          <w:b/>
        </w:rPr>
        <w:t>nota 4</w:t>
      </w:r>
    </w:p>
    <w:p w:rsidR="003627B9" w:rsidRDefault="003627B9" w:rsidP="003627B9">
      <w:pPr>
        <w:numPr>
          <w:ilvl w:val="2"/>
          <w:numId w:val="1"/>
        </w:numPr>
        <w:jc w:val="both"/>
      </w:pPr>
      <w:r>
        <w:t xml:space="preserve">Powyżej 2,0 – </w:t>
      </w:r>
      <w:r w:rsidRPr="003627B9">
        <w:rPr>
          <w:b/>
        </w:rPr>
        <w:t>nota 5</w:t>
      </w:r>
    </w:p>
    <w:p w:rsidR="003627B9" w:rsidRDefault="003627B9" w:rsidP="00776967">
      <w:pPr>
        <w:numPr>
          <w:ilvl w:val="1"/>
          <w:numId w:val="1"/>
        </w:numPr>
        <w:jc w:val="both"/>
      </w:pPr>
      <w:r>
        <w:t>Solidność klienta</w:t>
      </w:r>
    </w:p>
    <w:p w:rsidR="00DA7967" w:rsidRDefault="00DA7967" w:rsidP="00DA7967">
      <w:pPr>
        <w:numPr>
          <w:ilvl w:val="2"/>
          <w:numId w:val="1"/>
        </w:numPr>
        <w:jc w:val="both"/>
      </w:pPr>
      <w:r w:rsidRPr="00127786">
        <w:t xml:space="preserve">przedsiębiorca, </w:t>
      </w:r>
      <w:r>
        <w:t xml:space="preserve">od </w:t>
      </w:r>
      <w:r w:rsidRPr="00127786">
        <w:t>któr</w:t>
      </w:r>
      <w:r>
        <w:t>ego Fundusz dochodzi lub dochodził swoich praw na drodze sądowej</w:t>
      </w:r>
      <w:r w:rsidRPr="00127786">
        <w:t xml:space="preserve">, bądź </w:t>
      </w:r>
      <w:r>
        <w:t>jest lub był w</w:t>
      </w:r>
      <w:r w:rsidRPr="00127786">
        <w:t xml:space="preserve"> trakcie</w:t>
      </w:r>
      <w:r>
        <w:t xml:space="preserve"> windykacji (</w:t>
      </w:r>
      <w:r w:rsidRPr="00127786">
        <w:t>wysłane wypowiedzenie umowy, wezwanie</w:t>
      </w:r>
      <w:r>
        <w:t xml:space="preserve"> do zapłaty) – </w:t>
      </w:r>
      <w:r w:rsidRPr="00127786">
        <w:rPr>
          <w:b/>
        </w:rPr>
        <w:t>nota 1</w:t>
      </w:r>
    </w:p>
    <w:p w:rsidR="00DA7967" w:rsidRPr="00127786" w:rsidRDefault="00DA7967" w:rsidP="00DA7967">
      <w:pPr>
        <w:numPr>
          <w:ilvl w:val="2"/>
          <w:numId w:val="1"/>
        </w:numPr>
        <w:jc w:val="both"/>
      </w:pPr>
      <w:r w:rsidRPr="00127786">
        <w:t>przedsiębiorca, który spłacił pożyczkę po terminie, bądź jest w trakcie jej spłacania, ale u którego wystąpiły zaległości w spłacie i wobec którego zostały podjęte kroki windykacyjne (wysłane upomnienia)</w:t>
      </w:r>
      <w:r>
        <w:t xml:space="preserve"> – </w:t>
      </w:r>
      <w:r w:rsidRPr="00127786">
        <w:rPr>
          <w:b/>
        </w:rPr>
        <w:t>nota 2</w:t>
      </w:r>
    </w:p>
    <w:p w:rsidR="00DA7967" w:rsidRPr="00127786" w:rsidRDefault="00311286" w:rsidP="00DA7967">
      <w:pPr>
        <w:numPr>
          <w:ilvl w:val="2"/>
          <w:numId w:val="1"/>
        </w:numPr>
        <w:jc w:val="both"/>
      </w:pPr>
      <w:r>
        <w:t xml:space="preserve">przedsiębiorca, który </w:t>
      </w:r>
      <w:r w:rsidR="00DA7967" w:rsidRPr="00127786">
        <w:t>spłacił pożyczkę po terminie, bądź</w:t>
      </w:r>
      <w:r>
        <w:t xml:space="preserve"> jest w trakcie jej spłacania,</w:t>
      </w:r>
      <w:r w:rsidR="00DA7967" w:rsidRPr="00127786">
        <w:t xml:space="preserve"> u którego</w:t>
      </w:r>
      <w:r w:rsidR="00DA7967">
        <w:t xml:space="preserve"> wystąpiły</w:t>
      </w:r>
      <w:r w:rsidR="00DA7967" w:rsidRPr="00127786">
        <w:t xml:space="preserve"> trwałe opóźnienia w spłacie przekraczające 1 miesiąc, a także przedsiębiorca który </w:t>
      </w:r>
      <w:r>
        <w:t xml:space="preserve">nie rozliczył części bądź całości </w:t>
      </w:r>
      <w:r w:rsidR="00DA7967" w:rsidRPr="00127786">
        <w:t>środków pożyczkowych</w:t>
      </w:r>
      <w:r w:rsidR="00DA7967">
        <w:t xml:space="preserve"> – </w:t>
      </w:r>
      <w:r w:rsidR="00DA7967" w:rsidRPr="00127786">
        <w:rPr>
          <w:b/>
        </w:rPr>
        <w:t>nota 3</w:t>
      </w:r>
    </w:p>
    <w:p w:rsidR="00DA7967" w:rsidRPr="009B4AA9" w:rsidRDefault="00DA7967" w:rsidP="00DA7967">
      <w:pPr>
        <w:numPr>
          <w:ilvl w:val="2"/>
          <w:numId w:val="1"/>
        </w:numPr>
        <w:jc w:val="both"/>
      </w:pPr>
      <w:r w:rsidRPr="009B4AA9">
        <w:t xml:space="preserve">przedsiębiorca, który spłacił pożyczkę w terminie bądź jest w trakcie jej spłacania i wystąpiły u niego nieznaczne opóźnienia (do tygodnia czasu) </w:t>
      </w:r>
      <w:r w:rsidR="00513B3B" w:rsidRPr="009B4AA9">
        <w:t>i na dzień ubiegania się o pożyczkę nie występują u niego ż</w:t>
      </w:r>
      <w:r w:rsidR="009B4AA9">
        <w:t>a</w:t>
      </w:r>
      <w:r w:rsidR="00513B3B" w:rsidRPr="009B4AA9">
        <w:t>dne zaległości</w:t>
      </w:r>
      <w:r w:rsidRPr="009B4AA9">
        <w:t xml:space="preserve">– </w:t>
      </w:r>
      <w:r w:rsidRPr="009B4AA9">
        <w:rPr>
          <w:b/>
        </w:rPr>
        <w:t>nota 4</w:t>
      </w:r>
    </w:p>
    <w:p w:rsidR="003627B9" w:rsidRDefault="00127786" w:rsidP="003627B9">
      <w:pPr>
        <w:numPr>
          <w:ilvl w:val="2"/>
          <w:numId w:val="1"/>
        </w:numPr>
        <w:jc w:val="both"/>
      </w:pPr>
      <w:r w:rsidRPr="00127786">
        <w:t>przedsiębiorca, który spłacił pożyczkę przed terminem i w terminie bądź jest w trackie spłacania i nie występują u niego żadne zaległości</w:t>
      </w:r>
      <w:r>
        <w:t xml:space="preserve"> – </w:t>
      </w:r>
      <w:r w:rsidRPr="00127786">
        <w:rPr>
          <w:b/>
        </w:rPr>
        <w:t>nota 5</w:t>
      </w:r>
    </w:p>
    <w:p w:rsidR="003627B9" w:rsidRDefault="00DA7967" w:rsidP="00DA7967">
      <w:pPr>
        <w:numPr>
          <w:ilvl w:val="0"/>
          <w:numId w:val="1"/>
        </w:numPr>
        <w:jc w:val="both"/>
      </w:pPr>
      <w:r>
        <w:lastRenderedPageBreak/>
        <w:t xml:space="preserve">W zależności od </w:t>
      </w:r>
      <w:proofErr w:type="spellStart"/>
      <w:r>
        <w:t>rating</w:t>
      </w:r>
      <w:r w:rsidR="00513B3B">
        <w:t>u</w:t>
      </w:r>
      <w:proofErr w:type="spellEnd"/>
      <w:r>
        <w:t xml:space="preserve"> Fundusz ma prawo zastosować następujące marże, przy założeniu standardowego zabezpieczenia pożyczki:</w:t>
      </w:r>
    </w:p>
    <w:p w:rsidR="00DA7967" w:rsidRDefault="00DA7967" w:rsidP="00DA7967">
      <w:pPr>
        <w:numPr>
          <w:ilvl w:val="1"/>
          <w:numId w:val="1"/>
        </w:numPr>
        <w:jc w:val="both"/>
      </w:pPr>
      <w:r>
        <w:t>Wysoki (</w:t>
      </w:r>
      <w:proofErr w:type="spellStart"/>
      <w:r>
        <w:t>AAA-A</w:t>
      </w:r>
      <w:proofErr w:type="spellEnd"/>
      <w:r>
        <w:t>) – 75 punktów bazowych (gdzie 100 punktów bazowych to 1 %)</w:t>
      </w:r>
    </w:p>
    <w:p w:rsidR="00DA7967" w:rsidRDefault="00DA7967" w:rsidP="00DA7967">
      <w:pPr>
        <w:numPr>
          <w:ilvl w:val="1"/>
          <w:numId w:val="1"/>
        </w:numPr>
        <w:jc w:val="both"/>
      </w:pPr>
      <w:r>
        <w:t xml:space="preserve">Dobry (BBB) – 100 punktów bazowych </w:t>
      </w:r>
    </w:p>
    <w:p w:rsidR="00DA7967" w:rsidRDefault="00DA7967" w:rsidP="00DA7967">
      <w:pPr>
        <w:numPr>
          <w:ilvl w:val="1"/>
          <w:numId w:val="1"/>
        </w:numPr>
        <w:jc w:val="both"/>
      </w:pPr>
      <w:r>
        <w:t>Zadowalający (BB) – 220 punktów bazowych</w:t>
      </w:r>
    </w:p>
    <w:p w:rsidR="00DA7967" w:rsidRDefault="00DA7967" w:rsidP="00DA7967">
      <w:pPr>
        <w:numPr>
          <w:ilvl w:val="1"/>
          <w:numId w:val="1"/>
        </w:numPr>
        <w:jc w:val="both"/>
      </w:pPr>
      <w:r>
        <w:t>Niski (B) – 400 punktów bazowych</w:t>
      </w:r>
    </w:p>
    <w:p w:rsidR="00DA7967" w:rsidRDefault="00DA7967" w:rsidP="00DA7967">
      <w:pPr>
        <w:numPr>
          <w:ilvl w:val="1"/>
          <w:numId w:val="1"/>
        </w:numPr>
        <w:jc w:val="both"/>
      </w:pPr>
      <w:r>
        <w:t xml:space="preserve">Zły/Trudności finansowe (CCC i poniżej) – 650 punktów bazowych </w:t>
      </w:r>
    </w:p>
    <w:p w:rsidR="00DA7967" w:rsidRDefault="00DA7967" w:rsidP="00DA7967">
      <w:pPr>
        <w:numPr>
          <w:ilvl w:val="0"/>
          <w:numId w:val="1"/>
        </w:numPr>
        <w:jc w:val="both"/>
      </w:pPr>
      <w:r>
        <w:t>Przy założeniu innych poziomów zabezpieczeń niż standardowe Fundusz ma prawo stosować marże jak w poniższej macierzy:</w:t>
      </w:r>
    </w:p>
    <w:p w:rsidR="00DA7967" w:rsidRDefault="00DA7967" w:rsidP="00DA7967">
      <w:pPr>
        <w:jc w:val="both"/>
      </w:pPr>
    </w:p>
    <w:tbl>
      <w:tblPr>
        <w:tblW w:w="7840" w:type="dxa"/>
        <w:tblInd w:w="621" w:type="dxa"/>
        <w:tblCellMar>
          <w:left w:w="70" w:type="dxa"/>
          <w:right w:w="70" w:type="dxa"/>
        </w:tblCellMar>
        <w:tblLook w:val="0000"/>
      </w:tblPr>
      <w:tblGrid>
        <w:gridCol w:w="3640"/>
        <w:gridCol w:w="1400"/>
        <w:gridCol w:w="1400"/>
        <w:gridCol w:w="1400"/>
      </w:tblGrid>
      <w:tr w:rsidR="001C694A" w:rsidTr="001C694A">
        <w:trPr>
          <w:trHeight w:val="555"/>
        </w:trPr>
        <w:tc>
          <w:tcPr>
            <w:tcW w:w="7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Marża Funduszu Pożyczkowego w punktach bazowych</w:t>
            </w:r>
          </w:p>
        </w:tc>
      </w:tr>
      <w:tr w:rsidR="001C694A" w:rsidTr="001C694A">
        <w:trPr>
          <w:trHeight w:val="555"/>
        </w:trPr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694A" w:rsidRPr="001C694A" w:rsidRDefault="00406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1C694A" w:rsidRPr="001C694A">
              <w:rPr>
                <w:rFonts w:ascii="Arial" w:hAnsi="Arial" w:cs="Arial"/>
                <w:b/>
                <w:sz w:val="20"/>
                <w:szCs w:val="20"/>
              </w:rPr>
              <w:t xml:space="preserve">ategoria </w:t>
            </w:r>
            <w:proofErr w:type="spellStart"/>
            <w:r w:rsidR="001C694A" w:rsidRPr="001C694A">
              <w:rPr>
                <w:rFonts w:ascii="Arial" w:hAnsi="Arial" w:cs="Arial"/>
                <w:b/>
                <w:sz w:val="20"/>
                <w:szCs w:val="20"/>
              </w:rPr>
              <w:t>ratingu</w:t>
            </w:r>
            <w:proofErr w:type="spellEnd"/>
            <w:r w:rsidR="001C694A" w:rsidRPr="001C69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694A" w:rsidRPr="001C694A" w:rsidRDefault="00406F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C694A" w:rsidRPr="001C694A">
              <w:rPr>
                <w:rFonts w:ascii="Arial" w:hAnsi="Arial" w:cs="Arial"/>
                <w:b/>
                <w:sz w:val="20"/>
                <w:szCs w:val="20"/>
              </w:rPr>
              <w:t>oziom zabezpieczeń</w:t>
            </w:r>
          </w:p>
        </w:tc>
      </w:tr>
      <w:tr w:rsidR="001C694A" w:rsidTr="00406F46">
        <w:trPr>
          <w:trHeight w:val="705"/>
        </w:trPr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694A" w:rsidRPr="001C694A" w:rsidRDefault="001C69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Wysoki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Standardowy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Niski</w:t>
            </w:r>
          </w:p>
        </w:tc>
      </w:tr>
      <w:tr w:rsidR="001C694A" w:rsidTr="00406F46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Wysoki (</w:t>
            </w:r>
            <w:proofErr w:type="spellStart"/>
            <w:r w:rsidRPr="001C694A">
              <w:rPr>
                <w:rFonts w:ascii="Arial" w:hAnsi="Arial" w:cs="Arial"/>
                <w:b/>
                <w:sz w:val="20"/>
                <w:szCs w:val="20"/>
              </w:rPr>
              <w:t>AAA-A</w:t>
            </w:r>
            <w:proofErr w:type="spellEnd"/>
            <w:r w:rsidRPr="001C69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</w:tr>
      <w:tr w:rsidR="001C694A" w:rsidTr="00406F46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Dobry (BBB)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220</w:t>
            </w:r>
          </w:p>
        </w:tc>
      </w:tr>
      <w:tr w:rsidR="001C694A" w:rsidTr="00406F46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Zadowalający (BB)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b/>
                <w:i/>
                <w:sz w:val="20"/>
                <w:szCs w:val="20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400</w:t>
            </w:r>
          </w:p>
        </w:tc>
      </w:tr>
      <w:tr w:rsidR="001C694A" w:rsidTr="00406F46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Niski (B)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220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b/>
                <w:i/>
                <w:sz w:val="20"/>
                <w:szCs w:val="20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650</w:t>
            </w:r>
          </w:p>
        </w:tc>
      </w:tr>
      <w:tr w:rsidR="001C694A" w:rsidTr="00406F46">
        <w:trPr>
          <w:trHeight w:val="70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94A" w:rsidRPr="001C694A" w:rsidRDefault="001C6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4A">
              <w:rPr>
                <w:rFonts w:ascii="Arial" w:hAnsi="Arial" w:cs="Arial"/>
                <w:b/>
                <w:sz w:val="20"/>
                <w:szCs w:val="20"/>
              </w:rPr>
              <w:t>Zły/Trudności finansowe (CCC i poniżej)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b/>
                <w:i/>
                <w:sz w:val="20"/>
                <w:szCs w:val="20"/>
              </w:rPr>
              <w:t>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94A" w:rsidRPr="00406F46" w:rsidRDefault="001C69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6F46">
              <w:rPr>
                <w:rFonts w:ascii="Arial" w:hAnsi="Arial" w:cs="Arial"/>
                <w:i/>
                <w:sz w:val="20"/>
                <w:szCs w:val="20"/>
              </w:rPr>
              <w:t>1000</w:t>
            </w:r>
          </w:p>
        </w:tc>
      </w:tr>
    </w:tbl>
    <w:p w:rsidR="00DA7967" w:rsidRDefault="00DA7967" w:rsidP="00DA7967">
      <w:pPr>
        <w:jc w:val="both"/>
      </w:pPr>
    </w:p>
    <w:p w:rsidR="001C694A" w:rsidRDefault="001C694A" w:rsidP="001C694A">
      <w:pPr>
        <w:numPr>
          <w:ilvl w:val="0"/>
          <w:numId w:val="1"/>
        </w:numPr>
        <w:jc w:val="both"/>
      </w:pPr>
      <w:r>
        <w:t>Przyjęcie poszczególnych poziomów zabezpieczeń jest uzależnione od decyzji Zarządu Stowarzyszenia.</w:t>
      </w:r>
    </w:p>
    <w:p w:rsidR="001C694A" w:rsidRDefault="001C694A" w:rsidP="001C694A">
      <w:pPr>
        <w:numPr>
          <w:ilvl w:val="0"/>
          <w:numId w:val="1"/>
        </w:numPr>
        <w:jc w:val="both"/>
      </w:pPr>
      <w:r>
        <w:t>Za standardowe zabezpieczenie przyjmuje się takie</w:t>
      </w:r>
      <w:r w:rsidR="009B4AA9">
        <w:t>,</w:t>
      </w:r>
      <w:r>
        <w:t xml:space="preserve"> które zabezpiecza 150 % wartości udzielone pożyczki – cały kapitał wraz z odsetkami oraz ewentualnymi kosztami egzekucji.</w:t>
      </w:r>
    </w:p>
    <w:p w:rsidR="007F5631" w:rsidRDefault="007F5631" w:rsidP="001C694A">
      <w:pPr>
        <w:numPr>
          <w:ilvl w:val="0"/>
          <w:numId w:val="1"/>
        </w:numPr>
        <w:jc w:val="both"/>
      </w:pPr>
      <w:r>
        <w:t>przez wysoki poziom zabezpieczeń rozumie się zabezpieczenia przekraczające 250 % wartości pożyczki.</w:t>
      </w:r>
    </w:p>
    <w:p w:rsidR="001C694A" w:rsidRDefault="001C694A"/>
    <w:sectPr w:rsidR="001C694A" w:rsidSect="00136F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79" w:rsidRDefault="000E2679">
      <w:r>
        <w:separator/>
      </w:r>
    </w:p>
  </w:endnote>
  <w:endnote w:type="continuationSeparator" w:id="0">
    <w:p w:rsidR="000E2679" w:rsidRDefault="000E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69" w:rsidRDefault="001F6269" w:rsidP="001F6269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Stowarzyszenie „Samorządowe Centrum Przedsiębiorczości i Rozwoju”</w:t>
    </w:r>
  </w:p>
  <w:p w:rsidR="001F6269" w:rsidRPr="001F6269" w:rsidRDefault="001F6269" w:rsidP="001F6269">
    <w:pPr>
      <w:rPr>
        <w:b/>
        <w:sz w:val="20"/>
        <w:szCs w:val="20"/>
      </w:rPr>
    </w:pPr>
    <w:r w:rsidRPr="001F6269">
      <w:rPr>
        <w:b/>
        <w:sz w:val="20"/>
        <w:szCs w:val="20"/>
      </w:rPr>
      <w:t xml:space="preserve">Strona </w:t>
    </w:r>
    <w:r w:rsidR="007C740C" w:rsidRPr="001F6269">
      <w:rPr>
        <w:b/>
        <w:sz w:val="20"/>
        <w:szCs w:val="20"/>
      </w:rPr>
      <w:fldChar w:fldCharType="begin"/>
    </w:r>
    <w:r w:rsidRPr="001F6269">
      <w:rPr>
        <w:b/>
        <w:sz w:val="20"/>
        <w:szCs w:val="20"/>
      </w:rPr>
      <w:instrText xml:space="preserve"> PAGE </w:instrText>
    </w:r>
    <w:r w:rsidR="007C740C" w:rsidRPr="001F6269">
      <w:rPr>
        <w:b/>
        <w:sz w:val="20"/>
        <w:szCs w:val="20"/>
      </w:rPr>
      <w:fldChar w:fldCharType="separate"/>
    </w:r>
    <w:r w:rsidR="00FB756B">
      <w:rPr>
        <w:b/>
        <w:noProof/>
        <w:sz w:val="20"/>
        <w:szCs w:val="20"/>
      </w:rPr>
      <w:t>3</w:t>
    </w:r>
    <w:r w:rsidR="007C740C" w:rsidRPr="001F6269">
      <w:rPr>
        <w:b/>
        <w:sz w:val="20"/>
        <w:szCs w:val="20"/>
      </w:rPr>
      <w:fldChar w:fldCharType="end"/>
    </w:r>
    <w:r w:rsidRPr="001F6269">
      <w:rPr>
        <w:b/>
        <w:sz w:val="20"/>
        <w:szCs w:val="20"/>
      </w:rPr>
      <w:t xml:space="preserve"> </w:t>
    </w:r>
    <w:r w:rsidR="002B00D3">
      <w:rPr>
        <w:b/>
        <w:sz w:val="20"/>
        <w:szCs w:val="20"/>
      </w:rPr>
      <w:t>z</w:t>
    </w:r>
    <w:r w:rsidRPr="001F6269">
      <w:rPr>
        <w:b/>
        <w:sz w:val="20"/>
        <w:szCs w:val="20"/>
      </w:rPr>
      <w:t xml:space="preserve"> </w:t>
    </w:r>
    <w:r w:rsidR="007C740C" w:rsidRPr="001F6269">
      <w:rPr>
        <w:rStyle w:val="Numerstrony"/>
        <w:b/>
        <w:sz w:val="20"/>
        <w:szCs w:val="20"/>
      </w:rPr>
      <w:fldChar w:fldCharType="begin"/>
    </w:r>
    <w:r w:rsidRPr="001F6269">
      <w:rPr>
        <w:rStyle w:val="Numerstrony"/>
        <w:b/>
        <w:sz w:val="20"/>
        <w:szCs w:val="20"/>
      </w:rPr>
      <w:instrText xml:space="preserve"> NUMPAGES </w:instrText>
    </w:r>
    <w:r w:rsidR="007C740C" w:rsidRPr="001F6269">
      <w:rPr>
        <w:rStyle w:val="Numerstrony"/>
        <w:b/>
        <w:sz w:val="20"/>
        <w:szCs w:val="20"/>
      </w:rPr>
      <w:fldChar w:fldCharType="separate"/>
    </w:r>
    <w:r w:rsidR="00FB756B">
      <w:rPr>
        <w:rStyle w:val="Numerstrony"/>
        <w:b/>
        <w:noProof/>
        <w:sz w:val="20"/>
        <w:szCs w:val="20"/>
      </w:rPr>
      <w:t>3</w:t>
    </w:r>
    <w:r w:rsidR="007C740C" w:rsidRPr="001F6269">
      <w:rPr>
        <w:rStyle w:val="Numerstrony"/>
        <w:b/>
        <w:sz w:val="20"/>
        <w:szCs w:val="20"/>
      </w:rPr>
      <w:fldChar w:fldCharType="end"/>
    </w:r>
    <w:r w:rsidR="007C740C">
      <w:rPr>
        <w:b/>
        <w:noProof/>
        <w:sz w:val="20"/>
        <w:szCs w:val="20"/>
      </w:rPr>
      <w:pict>
        <v:line id="_x0000_s2051" style="position:absolute;z-index:251658752;mso-position-horizontal-relative:text;mso-position-vertical-relative:text" from="0,-15.25pt" to="459pt,-15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79" w:rsidRDefault="000E2679">
      <w:r>
        <w:separator/>
      </w:r>
    </w:p>
  </w:footnote>
  <w:footnote w:type="continuationSeparator" w:id="0">
    <w:p w:rsidR="000E2679" w:rsidRDefault="000E2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771"/>
      <w:gridCol w:w="4815"/>
      <w:gridCol w:w="1128"/>
      <w:gridCol w:w="1081"/>
    </w:tblGrid>
    <w:tr w:rsidR="00186185" w:rsidTr="00186185">
      <w:trPr>
        <w:cantSplit/>
        <w:trHeight w:val="670"/>
      </w:trPr>
      <w:tc>
        <w:tcPr>
          <w:tcW w:w="27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86185" w:rsidRDefault="00186185">
          <w:pPr>
            <w:tabs>
              <w:tab w:val="center" w:pos="1315"/>
            </w:tabs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111760</wp:posOffset>
                </wp:positionV>
                <wp:extent cx="1593850" cy="741680"/>
                <wp:effectExtent l="19050" t="0" r="6350" b="0"/>
                <wp:wrapTight wrapText="bothSides">
                  <wp:wrapPolygon edited="0">
                    <wp:start x="4647" y="0"/>
                    <wp:lineTo x="-258" y="17199"/>
                    <wp:lineTo x="-258" y="20527"/>
                    <wp:lineTo x="1549" y="21082"/>
                    <wp:lineTo x="7487" y="21082"/>
                    <wp:lineTo x="21686" y="21082"/>
                    <wp:lineTo x="21686" y="14979"/>
                    <wp:lineTo x="21428" y="14425"/>
                    <wp:lineTo x="18846" y="8877"/>
                    <wp:lineTo x="21686" y="8877"/>
                    <wp:lineTo x="21170" y="2219"/>
                    <wp:lineTo x="7487" y="0"/>
                    <wp:lineTo x="4647" y="0"/>
                  </wp:wrapPolygon>
                </wp:wrapTight>
                <wp:docPr id="4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741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48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6185" w:rsidRDefault="00186185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RATING</w:t>
          </w:r>
        </w:p>
      </w:tc>
      <w:tc>
        <w:tcPr>
          <w:tcW w:w="220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6185" w:rsidRDefault="00141FF6">
          <w:pPr>
            <w:spacing w:before="60" w:after="60"/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F28</w:t>
          </w:r>
          <w:r w:rsidR="00FB756B">
            <w:rPr>
              <w:rFonts w:ascii="Tahoma" w:hAnsi="Tahoma" w:cs="Tahoma"/>
              <w:b/>
              <w:iCs/>
            </w:rPr>
            <w:t>/7.5-08</w:t>
          </w:r>
        </w:p>
      </w:tc>
    </w:tr>
    <w:tr w:rsidR="00186185" w:rsidTr="00186185">
      <w:trPr>
        <w:cantSplit/>
        <w:trHeight w:val="550"/>
      </w:trPr>
      <w:tc>
        <w:tcPr>
          <w:tcW w:w="27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6185" w:rsidRDefault="00186185"/>
      </w:tc>
      <w:tc>
        <w:tcPr>
          <w:tcW w:w="48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6185" w:rsidRDefault="00186185">
          <w:pPr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220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756B" w:rsidRDefault="00FB756B" w:rsidP="00FB756B">
          <w:pPr>
            <w:spacing w:before="80" w:line="200" w:lineRule="exact"/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Wydanie: II</w:t>
          </w:r>
        </w:p>
        <w:p w:rsidR="00186185" w:rsidRDefault="00FB756B" w:rsidP="00FB756B">
          <w:pPr>
            <w:spacing w:after="80" w:line="200" w:lineRule="exact"/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>z dnia: 10-06-2013</w:t>
          </w:r>
        </w:p>
      </w:tc>
    </w:tr>
    <w:tr w:rsidR="00186185" w:rsidTr="00186185">
      <w:trPr>
        <w:cantSplit/>
        <w:trHeight w:val="453"/>
      </w:trPr>
      <w:tc>
        <w:tcPr>
          <w:tcW w:w="27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6185" w:rsidRDefault="00186185"/>
      </w:tc>
      <w:tc>
        <w:tcPr>
          <w:tcW w:w="48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6185" w:rsidRDefault="00186185">
          <w:pPr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C0F" w:rsidRDefault="00940C0F" w:rsidP="00940C0F">
          <w:pPr>
            <w:spacing w:before="80" w:line="200" w:lineRule="exact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Strona:</w:t>
          </w:r>
        </w:p>
        <w:p w:rsidR="00186185" w:rsidRPr="00186185" w:rsidRDefault="007C740C" w:rsidP="00940C0F">
          <w:pPr>
            <w:spacing w:after="80" w:line="200" w:lineRule="exact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940C0F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FB756B">
            <w:rPr>
              <w:rStyle w:val="Numerstrony"/>
              <w:rFonts w:ascii="Tahoma" w:hAnsi="Tahoma" w:cs="Tahoma"/>
              <w:noProof/>
              <w:sz w:val="18"/>
              <w:szCs w:val="18"/>
            </w:rPr>
            <w:t>3</w: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="00940C0F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940C0F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FB756B">
            <w:rPr>
              <w:rStyle w:val="Numerstrony"/>
              <w:rFonts w:ascii="Tahoma" w:hAnsi="Tahoma" w:cs="Tahoma"/>
              <w:noProof/>
              <w:sz w:val="18"/>
              <w:szCs w:val="18"/>
            </w:rPr>
            <w:t>3</w: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6185" w:rsidRDefault="00186185">
          <w:pPr>
            <w:spacing w:line="200" w:lineRule="exact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Zmiana:</w:t>
          </w:r>
        </w:p>
        <w:p w:rsidR="00186185" w:rsidRDefault="00186185">
          <w:pPr>
            <w:spacing w:line="200" w:lineRule="exact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A</w:t>
          </w:r>
        </w:p>
      </w:tc>
    </w:tr>
  </w:tbl>
  <w:p w:rsidR="009E4D64" w:rsidRPr="009E4D64" w:rsidRDefault="009E4D64" w:rsidP="009E4D64">
    <w:pPr>
      <w:pStyle w:val="Nagwek"/>
      <w:jc w:val="center"/>
      <w:rPr>
        <w:b/>
        <w:i/>
      </w:rPr>
    </w:pPr>
  </w:p>
  <w:p w:rsidR="00311286" w:rsidRDefault="009E4D64" w:rsidP="009D018D">
    <w:pPr>
      <w:pStyle w:val="Nagwek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Z</w:t>
    </w:r>
    <w:r w:rsidR="00311286">
      <w:rPr>
        <w:b/>
        <w:i/>
        <w:sz w:val="20"/>
        <w:szCs w:val="20"/>
      </w:rPr>
      <w:t xml:space="preserve">ałącznik nr </w:t>
    </w:r>
    <w:r w:rsidR="00092B33">
      <w:rPr>
        <w:b/>
        <w:i/>
        <w:sz w:val="20"/>
        <w:szCs w:val="20"/>
      </w:rPr>
      <w:t xml:space="preserve">7 </w:t>
    </w:r>
    <w:r w:rsidR="00311286">
      <w:rPr>
        <w:b/>
        <w:i/>
        <w:sz w:val="20"/>
        <w:szCs w:val="20"/>
      </w:rPr>
      <w:t>do Regulaminu Funduszu</w:t>
    </w:r>
  </w:p>
  <w:p w:rsidR="00311286" w:rsidRPr="009D018D" w:rsidRDefault="007C740C">
    <w:pPr>
      <w:pStyle w:val="Nagwek"/>
      <w:rPr>
        <w:szCs w:val="12"/>
      </w:rPr>
    </w:pPr>
    <w:r w:rsidRPr="007C740C">
      <w:rPr>
        <w:b/>
        <w:i/>
        <w:noProof/>
        <w:sz w:val="20"/>
        <w:szCs w:val="20"/>
      </w:rPr>
      <w:pict>
        <v:line id="_x0000_s2049" style="position:absolute;flip:y;z-index:251656704" from="0,4.45pt" to="495pt,5.55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1A9"/>
    <w:multiLevelType w:val="hybridMultilevel"/>
    <w:tmpl w:val="324CEF78"/>
    <w:lvl w:ilvl="0" w:tplc="D17C3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566E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56D6E3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018D"/>
    <w:rsid w:val="00032737"/>
    <w:rsid w:val="0006144E"/>
    <w:rsid w:val="00092B33"/>
    <w:rsid w:val="000C4B89"/>
    <w:rsid w:val="000C7249"/>
    <w:rsid w:val="000E2679"/>
    <w:rsid w:val="00127786"/>
    <w:rsid w:val="00136F54"/>
    <w:rsid w:val="00141FF6"/>
    <w:rsid w:val="0014455A"/>
    <w:rsid w:val="00186185"/>
    <w:rsid w:val="001C694A"/>
    <w:rsid w:val="001E6E1D"/>
    <w:rsid w:val="001F40FE"/>
    <w:rsid w:val="001F6269"/>
    <w:rsid w:val="0025671E"/>
    <w:rsid w:val="00256F36"/>
    <w:rsid w:val="002B00D3"/>
    <w:rsid w:val="00311286"/>
    <w:rsid w:val="003627B9"/>
    <w:rsid w:val="003F22B9"/>
    <w:rsid w:val="003F4729"/>
    <w:rsid w:val="003F7AF2"/>
    <w:rsid w:val="00406F46"/>
    <w:rsid w:val="00451B4F"/>
    <w:rsid w:val="00477693"/>
    <w:rsid w:val="00477B2B"/>
    <w:rsid w:val="004C4E93"/>
    <w:rsid w:val="004F5159"/>
    <w:rsid w:val="00513B3B"/>
    <w:rsid w:val="00575815"/>
    <w:rsid w:val="0059710C"/>
    <w:rsid w:val="006A282A"/>
    <w:rsid w:val="00776967"/>
    <w:rsid w:val="00787B35"/>
    <w:rsid w:val="007B05C4"/>
    <w:rsid w:val="007C740C"/>
    <w:rsid w:val="007F5631"/>
    <w:rsid w:val="00804420"/>
    <w:rsid w:val="00823B6A"/>
    <w:rsid w:val="008316E4"/>
    <w:rsid w:val="0084473F"/>
    <w:rsid w:val="008656C9"/>
    <w:rsid w:val="008930FD"/>
    <w:rsid w:val="008D0233"/>
    <w:rsid w:val="00940C0F"/>
    <w:rsid w:val="009A17E4"/>
    <w:rsid w:val="009B4AA9"/>
    <w:rsid w:val="009B4CE1"/>
    <w:rsid w:val="009D018D"/>
    <w:rsid w:val="009E4D64"/>
    <w:rsid w:val="00A372B9"/>
    <w:rsid w:val="00A64197"/>
    <w:rsid w:val="00A72B05"/>
    <w:rsid w:val="00AB4884"/>
    <w:rsid w:val="00AE6254"/>
    <w:rsid w:val="00AF4703"/>
    <w:rsid w:val="00B13908"/>
    <w:rsid w:val="00B14D96"/>
    <w:rsid w:val="00B81E6A"/>
    <w:rsid w:val="00B9642F"/>
    <w:rsid w:val="00BA602A"/>
    <w:rsid w:val="00CB5145"/>
    <w:rsid w:val="00D276BD"/>
    <w:rsid w:val="00D65242"/>
    <w:rsid w:val="00D672D9"/>
    <w:rsid w:val="00DA7967"/>
    <w:rsid w:val="00DB3E93"/>
    <w:rsid w:val="00DB3EA2"/>
    <w:rsid w:val="00E31AB0"/>
    <w:rsid w:val="00E4722D"/>
    <w:rsid w:val="00E84261"/>
    <w:rsid w:val="00EF4724"/>
    <w:rsid w:val="00F16A5F"/>
    <w:rsid w:val="00FB756B"/>
    <w:rsid w:val="00FC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6F54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9D018D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01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01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018D"/>
  </w:style>
  <w:style w:type="paragraph" w:styleId="Tekstdymka">
    <w:name w:val="Balloon Text"/>
    <w:basedOn w:val="Normalny"/>
    <w:link w:val="TekstdymkaZnak"/>
    <w:rsid w:val="004C4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4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Michał Stasik</dc:creator>
  <cp:lastModifiedBy>Dorota</cp:lastModifiedBy>
  <cp:revision>21</cp:revision>
  <cp:lastPrinted>2010-02-09T12:39:00Z</cp:lastPrinted>
  <dcterms:created xsi:type="dcterms:W3CDTF">2011-01-25T14:25:00Z</dcterms:created>
  <dcterms:modified xsi:type="dcterms:W3CDTF">2013-06-10T09:56:00Z</dcterms:modified>
</cp:coreProperties>
</file>