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E8" w:rsidRDefault="008D33E8" w:rsidP="008D33E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W programie między innymi: 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Istota konfliktu – czym jest konflikt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br/>
        <w:t>- Czym jest i kiedy powstaje?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 Czy każdy konflikt można rozwiązać?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Sposoby rozwiązywania konfliktów: mediacje, negocjacje, arbitraż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 </w:t>
      </w:r>
    </w:p>
    <w:p w:rsidR="008D33E8" w:rsidRDefault="008D33E8" w:rsidP="008D33E8">
      <w:pPr>
        <w:contextualSpacing/>
        <w:rPr>
          <w:rFonts w:eastAsia="Times New Roman"/>
        </w:rPr>
      </w:pPr>
      <w:r>
        <w:rPr>
          <w:rFonts w:eastAsia="Times New Roman"/>
          <w:b/>
          <w:bCs/>
        </w:rPr>
        <w:t>Specyficzny gatunek konfliktu – windykacja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br/>
        <w:t>- Przyczyny windykacji należności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- „Jak odzyskać pieniądze od człowieka, który nie istnieje” – </w:t>
      </w:r>
      <w:proofErr w:type="spellStart"/>
      <w:r>
        <w:rPr>
          <w:rFonts w:eastAsia="Times New Roman"/>
        </w:rPr>
        <w:t>case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Prawne aspekty procesu windykacji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  <w:b/>
          <w:bCs/>
        </w:rPr>
        <w:t>Negocjacje – czym są w ogóle?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Partner, a nie przeciwnik – czy zawsze?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Profil kompetencyjny negocjatora – „Wielka szóstka”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Kiedy prowadzić, a kiedy nie?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 Negocjacje pozycyjne a problemowe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Negocjacje cenowe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Style negocjacyjne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Taktyka czynienia ustępstw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 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  <w:b/>
          <w:bCs/>
        </w:rPr>
        <w:t>Przygotowanie do negocjacji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Zbieranie informacji – pozornie błahe informacje o wielkiej wadze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BATNA – element nieodzowny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Zbieranie informacji o dłużniku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„Scenariusz” – dlaczego warto i jak go konstruować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Przebieg negocjacji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Otoczenie – jak nim zarządzać?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Nastawienie – negocjują ludzie, nie firmy!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Emocje w negocjacjach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Etapy negocjacji – zarządzanie procesem negocjacji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Stanowisko a pierwsza propozycja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Strategie i techniki negocjacji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Techniki wpływu społecznego, elementy perswazji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Techniki negocjacyjne – ponad 30 konkretnych narzędzi skutecznych w negocjacjach</w:t>
      </w:r>
    </w:p>
    <w:p w:rsidR="008D33E8" w:rsidRDefault="008D33E8" w:rsidP="008D33E8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- Nieczyste techniki negocjacji</w:t>
      </w:r>
    </w:p>
    <w:p w:rsidR="008D33E8" w:rsidRDefault="008D33E8" w:rsidP="008D33E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br/>
        <w:t>Manipulacja w negocjacjach – jak ją rozpoznawać i jak się przed nią bronić?</w:t>
      </w:r>
    </w:p>
    <w:p w:rsidR="008D33E8" w:rsidRDefault="008D33E8" w:rsidP="008D33E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Ćwiczenia praktyczne – symulacje negocjacji</w:t>
      </w:r>
    </w:p>
    <w:p w:rsidR="008D33E8" w:rsidRDefault="008D33E8" w:rsidP="008D33E8">
      <w:pPr>
        <w:spacing w:before="100" w:beforeAutospacing="1" w:after="100" w:afterAutospacing="1"/>
        <w:jc w:val="center"/>
        <w:rPr>
          <w:rFonts w:eastAsia="Times New Roman"/>
          <w:b/>
          <w:bCs/>
          <w:sz w:val="32"/>
          <w:szCs w:val="32"/>
        </w:rPr>
      </w:pPr>
    </w:p>
    <w:p w:rsidR="008D33E8" w:rsidRDefault="008D33E8" w:rsidP="008D33E8">
      <w:pPr>
        <w:spacing w:before="100" w:beforeAutospacing="1" w:after="100" w:afterAutospacing="1"/>
      </w:pPr>
      <w:bookmarkStart w:id="0" w:name="_GoBack"/>
      <w:bookmarkEnd w:id="0"/>
      <w:r>
        <w:t> </w:t>
      </w:r>
    </w:p>
    <w:p w:rsidR="008C1F9B" w:rsidRDefault="008D33E8" w:rsidP="008D33E8">
      <w:pPr>
        <w:spacing w:before="100" w:beforeAutospacing="1" w:after="100" w:afterAutospacing="1"/>
        <w:jc w:val="center"/>
      </w:pPr>
      <w:r>
        <w:t> </w:t>
      </w:r>
    </w:p>
    <w:sectPr w:rsidR="008C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8"/>
    <w:rsid w:val="005B70F4"/>
    <w:rsid w:val="008C1F9B"/>
    <w:rsid w:val="008D33E8"/>
    <w:rsid w:val="00C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3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3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3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cp:lastPrinted>2012-06-06T09:05:00Z</cp:lastPrinted>
  <dcterms:created xsi:type="dcterms:W3CDTF">2012-06-06T09:04:00Z</dcterms:created>
  <dcterms:modified xsi:type="dcterms:W3CDTF">2012-06-06T09:10:00Z</dcterms:modified>
</cp:coreProperties>
</file>