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48" w:rsidRPr="00E43141" w:rsidRDefault="00E43141" w:rsidP="002E168C">
      <w:pPr>
        <w:jc w:val="right"/>
        <w:rPr>
          <w:b/>
          <w:i/>
        </w:rPr>
      </w:pPr>
      <w:r w:rsidRPr="00E43141">
        <w:rPr>
          <w:b/>
          <w:i/>
        </w:rPr>
        <w:t>Załącznik nr 1</w:t>
      </w:r>
      <w:r w:rsidR="009B1048" w:rsidRPr="00E43141">
        <w:rPr>
          <w:b/>
          <w:i/>
        </w:rPr>
        <w:t>b do SIWZ</w:t>
      </w:r>
    </w:p>
    <w:p w:rsidR="009B1048" w:rsidRPr="00007DF2" w:rsidRDefault="009B1048" w:rsidP="002E168C">
      <w:pPr>
        <w:jc w:val="center"/>
        <w:rPr>
          <w:b/>
          <w:sz w:val="28"/>
          <w:szCs w:val="28"/>
        </w:rPr>
      </w:pPr>
      <w:r w:rsidRPr="00762316">
        <w:rPr>
          <w:b/>
          <w:sz w:val="28"/>
          <w:szCs w:val="28"/>
        </w:rPr>
        <w:t>Szczegółowy opis przedmiotu zamówienia</w:t>
      </w:r>
    </w:p>
    <w:p w:rsidR="009B1048" w:rsidRPr="00180B5E" w:rsidRDefault="0054742F" w:rsidP="002E168C">
      <w:pPr>
        <w:jc w:val="both"/>
      </w:pPr>
      <w:r>
        <w:rPr>
          <w:b/>
          <w:sz w:val="24"/>
          <w:szCs w:val="24"/>
          <w:u w:val="single"/>
        </w:rPr>
        <w:t>Część 2 - świadczenie usług</w:t>
      </w:r>
      <w:bookmarkStart w:id="0" w:name="_GoBack"/>
      <w:bookmarkEnd w:id="0"/>
      <w:r w:rsidR="009B1048" w:rsidRPr="00762316">
        <w:rPr>
          <w:b/>
          <w:sz w:val="24"/>
          <w:szCs w:val="24"/>
          <w:u w:val="single"/>
        </w:rPr>
        <w:t xml:space="preserve"> doradztwa prawnego</w:t>
      </w:r>
      <w:r w:rsidR="009B1048" w:rsidRPr="00180B5E">
        <w:t>.</w:t>
      </w:r>
    </w:p>
    <w:p w:rsidR="009B1048" w:rsidRPr="00180B5E" w:rsidRDefault="009B1048" w:rsidP="002E168C">
      <w:pPr>
        <w:pStyle w:val="Akapitzlist"/>
        <w:numPr>
          <w:ilvl w:val="0"/>
          <w:numId w:val="3"/>
        </w:numPr>
        <w:jc w:val="both"/>
      </w:pPr>
      <w:r w:rsidRPr="00180B5E">
        <w:t>Zakres usługi:</w:t>
      </w:r>
    </w:p>
    <w:p w:rsidR="009B1048" w:rsidRPr="00180B5E" w:rsidRDefault="009B1048" w:rsidP="002E168C">
      <w:pPr>
        <w:pStyle w:val="Akapitzlist"/>
        <w:jc w:val="both"/>
      </w:pPr>
    </w:p>
    <w:p w:rsidR="009B1048" w:rsidRDefault="009B1048" w:rsidP="00CD00E4">
      <w:pPr>
        <w:pStyle w:val="Akapitzlist"/>
        <w:numPr>
          <w:ilvl w:val="0"/>
          <w:numId w:val="1"/>
        </w:numPr>
        <w:jc w:val="both"/>
      </w:pPr>
      <w:r w:rsidRPr="00180B5E">
        <w:t>Przedmiotem zamówienia jest świadczenie doradztwa prawnego</w:t>
      </w:r>
      <w:r>
        <w:t xml:space="preserve"> przez cały okres trw</w:t>
      </w:r>
      <w:r w:rsidR="0086284B">
        <w:t xml:space="preserve">ania umowy  w ilości  średnio </w:t>
      </w:r>
      <w:r w:rsidR="0086284B" w:rsidRPr="00FF153D">
        <w:rPr>
          <w:b/>
        </w:rPr>
        <w:t>8</w:t>
      </w:r>
      <w:r w:rsidRPr="00FF153D">
        <w:rPr>
          <w:b/>
        </w:rPr>
        <w:t xml:space="preserve"> godzin miesięcznie</w:t>
      </w:r>
      <w:r>
        <w:t xml:space="preserve">. Zamawiający przewiduje ,że w okresie trwania umowy wykonawca wykona usługi doradztwa prawnego w ilości nie przekraczającej   </w:t>
      </w:r>
      <w:r w:rsidR="0086284B">
        <w:rPr>
          <w:b/>
        </w:rPr>
        <w:t xml:space="preserve">260 </w:t>
      </w:r>
      <w:r w:rsidRPr="00762316">
        <w:rPr>
          <w:b/>
        </w:rPr>
        <w:t>godzin</w:t>
      </w:r>
      <w:r w:rsidRPr="00180B5E">
        <w:t xml:space="preserve"> </w:t>
      </w:r>
      <w:r>
        <w:t xml:space="preserve">. Szczegółowe informacje dotyczące zasad wykonywania usługi zawarte są w projekcie umowy, stanowiącej załącznik do SIWZ. </w:t>
      </w:r>
    </w:p>
    <w:p w:rsidR="009B1048" w:rsidRDefault="009B1048" w:rsidP="00CD00E4">
      <w:pPr>
        <w:pStyle w:val="Akapitzlist"/>
        <w:numPr>
          <w:ilvl w:val="0"/>
          <w:numId w:val="1"/>
        </w:numPr>
        <w:jc w:val="both"/>
      </w:pPr>
      <w:r w:rsidRPr="00FF153D">
        <w:t>Świadczenie przedmiotu zamówienia będzie odbywało się  z wykorzystaniem osób wskazanych w ofercie  przez wykonawcę do re</w:t>
      </w:r>
      <w:r w:rsidR="00FF153D">
        <w:t>alizacji niniejszego zamówienia.</w:t>
      </w:r>
    </w:p>
    <w:p w:rsidR="00FF153D" w:rsidRDefault="00FF153D" w:rsidP="00FF153D">
      <w:pPr>
        <w:pStyle w:val="Akapitzlist"/>
        <w:numPr>
          <w:ilvl w:val="0"/>
          <w:numId w:val="1"/>
        </w:numPr>
        <w:jc w:val="both"/>
      </w:pPr>
      <w:r>
        <w:t xml:space="preserve">Usługa doradcza będzie się odbywać w Suchej Beskidzkiej, w miejscu wskazanym przez Zamawiającego. </w:t>
      </w:r>
      <w:r w:rsidRPr="00180B5E">
        <w:t>W uzasadnionych przypadkach (np. udział osoby niepełnosprawnej w projekcie) doradztwo może być świadczone w miejscu prowadzenia działalności gospodarczej B</w:t>
      </w:r>
      <w:r>
        <w:t xml:space="preserve">eneficjenta </w:t>
      </w:r>
      <w:r w:rsidRPr="00180B5E">
        <w:t>O</w:t>
      </w:r>
      <w:r>
        <w:t>statecznego</w:t>
      </w:r>
      <w:r w:rsidRPr="00180B5E">
        <w:t xml:space="preserve"> po każdorazowym zawiadomieniu Wykonawcy przez Zamawiającego</w:t>
      </w:r>
      <w:r>
        <w:t xml:space="preserve"> i nie stanowi podstawy do zwiększenia wynagrodzenia wykonawcy.</w:t>
      </w:r>
    </w:p>
    <w:p w:rsidR="009B1048" w:rsidRPr="00180B5E" w:rsidRDefault="009B1048" w:rsidP="00FF153D">
      <w:pPr>
        <w:pStyle w:val="Akapitzlist"/>
        <w:numPr>
          <w:ilvl w:val="0"/>
          <w:numId w:val="1"/>
        </w:numPr>
        <w:jc w:val="both"/>
      </w:pPr>
      <w:r w:rsidRPr="00180B5E">
        <w:t>Doradztwo świadczone będzie</w:t>
      </w:r>
      <w:r>
        <w:t xml:space="preserve"> od dnia podpisania umowy lecz nie później niż </w:t>
      </w:r>
      <w:r w:rsidRPr="00180B5E">
        <w:t xml:space="preserve"> do 31.08.2014</w:t>
      </w:r>
      <w:r>
        <w:t xml:space="preserve">. </w:t>
      </w:r>
    </w:p>
    <w:p w:rsidR="009B1048" w:rsidRDefault="009B1048" w:rsidP="002E168C">
      <w:pPr>
        <w:pStyle w:val="Akapitzlist"/>
        <w:numPr>
          <w:ilvl w:val="0"/>
          <w:numId w:val="1"/>
        </w:numPr>
        <w:jc w:val="both"/>
      </w:pPr>
      <w:r w:rsidRPr="00180B5E">
        <w:t>Wykonawca</w:t>
      </w:r>
      <w:r>
        <w:t xml:space="preserve"> będzie świadczył usługę doradztwa prawnego </w:t>
      </w:r>
      <w:r w:rsidR="0086284B">
        <w:t xml:space="preserve">średnio </w:t>
      </w:r>
      <w:r w:rsidRPr="00180B5E">
        <w:t>8 godzin  miesięcznie,</w:t>
      </w:r>
      <w:r>
        <w:t xml:space="preserve"> lecz </w:t>
      </w:r>
      <w:r w:rsidRPr="00180B5E">
        <w:t xml:space="preserve"> nie więcej niż </w:t>
      </w:r>
      <w:r w:rsidR="0086284B">
        <w:t>260</w:t>
      </w:r>
      <w:r w:rsidRPr="00180B5E">
        <w:t xml:space="preserve"> godzin w całym okresie świadczenia doradztwa.</w:t>
      </w:r>
      <w:r>
        <w:t xml:space="preserve"> Ilość godzin usług świadczonych miesięcznie może ulec zwiększeniu lub zmniejszeniu w okresie każdego miesiąca kalendarzowego. Ilość godzin usług zrealizowanych w okresie trwania umowy może, z przyczyn niezależnych od zamawiającego ulec zmniejszeniu, lecz nie </w:t>
      </w:r>
      <w:r w:rsidR="00DB422A">
        <w:t xml:space="preserve">więcej </w:t>
      </w:r>
      <w:r w:rsidR="0086284B">
        <w:t>niż o 20 % ilości godzin (52</w:t>
      </w:r>
      <w:r>
        <w:t xml:space="preserve"> godzin). W takim przypadku wykonawcy przysługuje wynagrodzenie wyłącznie za wykonane godziny pracy doradztwa prawnego.</w:t>
      </w:r>
    </w:p>
    <w:p w:rsidR="009B1048" w:rsidRPr="00180B5E" w:rsidRDefault="009B1048" w:rsidP="008D7E19">
      <w:pPr>
        <w:pStyle w:val="Akapitzlist"/>
        <w:ind w:left="0"/>
        <w:jc w:val="both"/>
      </w:pPr>
    </w:p>
    <w:p w:rsidR="009B1048" w:rsidRDefault="009B1048" w:rsidP="002E168C">
      <w:pPr>
        <w:pStyle w:val="Akapitzlist"/>
        <w:numPr>
          <w:ilvl w:val="0"/>
          <w:numId w:val="1"/>
        </w:numPr>
        <w:jc w:val="both"/>
      </w:pPr>
      <w:r w:rsidRPr="00180B5E">
        <w:t>Czas świadczenia usługi nie przekroczy limitu godzin, każdorazowo określanego przez Zamawiającego na rzecz danego B</w:t>
      </w:r>
      <w:r>
        <w:t xml:space="preserve">eneficjenta </w:t>
      </w:r>
      <w:r w:rsidRPr="00180B5E">
        <w:t>O</w:t>
      </w:r>
      <w:r>
        <w:t>statecznego</w:t>
      </w:r>
      <w:r w:rsidRPr="00180B5E">
        <w:t>.</w:t>
      </w:r>
    </w:p>
    <w:p w:rsidR="009B1048" w:rsidRPr="00180B5E" w:rsidRDefault="009B1048" w:rsidP="003938B1">
      <w:pPr>
        <w:pStyle w:val="Akapitzlist"/>
        <w:ind w:left="0"/>
        <w:jc w:val="both"/>
      </w:pPr>
    </w:p>
    <w:p w:rsidR="009B1048" w:rsidRPr="00180B5E" w:rsidRDefault="009B1048" w:rsidP="002E168C">
      <w:pPr>
        <w:pStyle w:val="Akapitzlist"/>
        <w:numPr>
          <w:ilvl w:val="0"/>
          <w:numId w:val="1"/>
        </w:numPr>
        <w:jc w:val="both"/>
      </w:pPr>
      <w:r w:rsidRPr="00180B5E">
        <w:t xml:space="preserve">Usługa doradztwa będzie prowadzona w następujących obszarach: </w:t>
      </w:r>
    </w:p>
    <w:p w:rsidR="009B1048" w:rsidRPr="00180B5E" w:rsidRDefault="009B1048" w:rsidP="002E168C">
      <w:pPr>
        <w:pStyle w:val="Akapitzlist"/>
        <w:numPr>
          <w:ilvl w:val="1"/>
          <w:numId w:val="2"/>
        </w:numPr>
        <w:jc w:val="both"/>
      </w:pPr>
      <w:r w:rsidRPr="00180B5E">
        <w:t xml:space="preserve">prawo i postępowanie cywilne, </w:t>
      </w:r>
    </w:p>
    <w:p w:rsidR="009B1048" w:rsidRPr="00180B5E" w:rsidRDefault="009B1048" w:rsidP="002E168C">
      <w:pPr>
        <w:pStyle w:val="Akapitzlist"/>
        <w:numPr>
          <w:ilvl w:val="1"/>
          <w:numId w:val="2"/>
        </w:numPr>
        <w:jc w:val="both"/>
      </w:pPr>
      <w:r w:rsidRPr="00180B5E">
        <w:t xml:space="preserve">prawo gospodarcze w tym prawo finansowe, handlowe, </w:t>
      </w:r>
    </w:p>
    <w:p w:rsidR="009B1048" w:rsidRPr="00180B5E" w:rsidRDefault="009B1048" w:rsidP="002E168C">
      <w:pPr>
        <w:pStyle w:val="Akapitzlist"/>
        <w:numPr>
          <w:ilvl w:val="1"/>
          <w:numId w:val="2"/>
        </w:numPr>
        <w:jc w:val="both"/>
      </w:pPr>
      <w:r w:rsidRPr="00180B5E">
        <w:t>prawo ochrony środowiska,</w:t>
      </w:r>
    </w:p>
    <w:p w:rsidR="009B1048" w:rsidRDefault="009B1048" w:rsidP="00B0458F">
      <w:pPr>
        <w:pStyle w:val="Akapitzlist"/>
        <w:numPr>
          <w:ilvl w:val="1"/>
          <w:numId w:val="2"/>
        </w:numPr>
        <w:jc w:val="both"/>
      </w:pPr>
      <w:r w:rsidRPr="00180B5E">
        <w:t>prawo i postępowanie administracyjne</w:t>
      </w:r>
      <w:r>
        <w:t>.</w:t>
      </w:r>
    </w:p>
    <w:p w:rsidR="009B1048" w:rsidRDefault="009B1048">
      <w:pPr>
        <w:pStyle w:val="Akapitzlist"/>
        <w:ind w:left="1080"/>
        <w:jc w:val="both"/>
      </w:pPr>
    </w:p>
    <w:p w:rsidR="00FF153D" w:rsidRDefault="00FF153D" w:rsidP="00FF153D">
      <w:pPr>
        <w:pStyle w:val="Akapitzlist1"/>
        <w:numPr>
          <w:ilvl w:val="0"/>
          <w:numId w:val="1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Usługa doradcza świadczona będzie w dwóch etapach:</w:t>
      </w:r>
    </w:p>
    <w:p w:rsidR="00FF153D" w:rsidRPr="00FF153D" w:rsidRDefault="008F3930" w:rsidP="00FF153D">
      <w:pPr>
        <w:pStyle w:val="Akapitzlist1"/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FF153D" w:rsidRPr="000F5C9D">
        <w:rPr>
          <w:rFonts w:ascii="Calibri" w:hAnsi="Calibri"/>
          <w:color w:val="000000"/>
          <w:sz w:val="22"/>
          <w:szCs w:val="22"/>
        </w:rPr>
        <w:t xml:space="preserve">.1. </w:t>
      </w:r>
      <w:r w:rsidR="00FF153D" w:rsidRPr="00FF153D">
        <w:rPr>
          <w:rFonts w:ascii="Calibri" w:hAnsi="Calibri"/>
          <w:color w:val="000000"/>
          <w:sz w:val="22"/>
          <w:szCs w:val="22"/>
          <w:u w:val="single"/>
        </w:rPr>
        <w:t>Etap I</w:t>
      </w:r>
      <w:r w:rsidR="00FF153D" w:rsidRPr="00FF153D">
        <w:rPr>
          <w:rFonts w:ascii="Calibri" w:hAnsi="Calibri"/>
          <w:color w:val="000000"/>
          <w:sz w:val="22"/>
          <w:szCs w:val="22"/>
        </w:rPr>
        <w:t xml:space="preserve">: Wykonawca przeprowadzi diagnozę potrzeb Klienta polegającą na identyfikacji </w:t>
      </w:r>
      <w:r w:rsidR="00FF153D" w:rsidRPr="00FF153D">
        <w:rPr>
          <w:rFonts w:ascii="Calibri" w:hAnsi="Calibri"/>
          <w:color w:val="000000"/>
          <w:sz w:val="22"/>
          <w:szCs w:val="22"/>
        </w:rPr>
        <w:br/>
        <w:t xml:space="preserve">         problemu oraz potrzeb związanych z prowadzeniem działalności gospodarczej poprzez </w:t>
      </w:r>
      <w:r w:rsidR="00FF153D" w:rsidRPr="00FF153D">
        <w:rPr>
          <w:rFonts w:ascii="Calibri" w:hAnsi="Calibri"/>
          <w:color w:val="000000"/>
          <w:sz w:val="22"/>
          <w:szCs w:val="22"/>
        </w:rPr>
        <w:br/>
        <w:t xml:space="preserve">         przeprowadzenie szczegółowego wywiadu z klientem, analizy dokumentów. </w:t>
      </w:r>
      <w:r w:rsidR="00FF153D" w:rsidRPr="00FF153D">
        <w:rPr>
          <w:rFonts w:ascii="Calibri" w:hAnsi="Calibri" w:cs="Calibri"/>
          <w:color w:val="000000"/>
          <w:sz w:val="22"/>
          <w:szCs w:val="22"/>
        </w:rPr>
        <w:t xml:space="preserve">I etap usługi                  </w:t>
      </w:r>
      <w:r w:rsidR="00FF153D" w:rsidRPr="00FF153D">
        <w:rPr>
          <w:rFonts w:ascii="Calibri" w:hAnsi="Calibri" w:cs="Calibri"/>
          <w:color w:val="000000"/>
          <w:sz w:val="22"/>
          <w:szCs w:val="22"/>
        </w:rPr>
        <w:br/>
        <w:t xml:space="preserve">         zakończy się sporządzeniem Formularza diagnozy </w:t>
      </w:r>
      <w:r w:rsidR="00FF153D" w:rsidRPr="00FF153D">
        <w:rPr>
          <w:rFonts w:asciiTheme="minorHAnsi" w:hAnsiTheme="minorHAnsi" w:cstheme="minorHAnsi"/>
          <w:sz w:val="22"/>
          <w:szCs w:val="22"/>
        </w:rPr>
        <w:t xml:space="preserve">(wzór stanowi załącznik do projektu </w:t>
      </w:r>
      <w:r w:rsidR="00FF153D" w:rsidRPr="00FF153D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FF153D">
        <w:rPr>
          <w:rFonts w:asciiTheme="minorHAnsi" w:hAnsiTheme="minorHAnsi" w:cstheme="minorHAnsi"/>
          <w:sz w:val="22"/>
          <w:szCs w:val="22"/>
        </w:rPr>
        <w:t xml:space="preserve">  </w:t>
      </w:r>
      <w:r w:rsidR="00FF153D" w:rsidRPr="00FF153D">
        <w:rPr>
          <w:rFonts w:asciiTheme="minorHAnsi" w:hAnsiTheme="minorHAnsi" w:cstheme="minorHAnsi"/>
          <w:sz w:val="22"/>
          <w:szCs w:val="22"/>
        </w:rPr>
        <w:t>umowy)</w:t>
      </w:r>
      <w:r w:rsidR="00FF153D" w:rsidRPr="00FF153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F153D" w:rsidRPr="00FF153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F153D">
        <w:rPr>
          <w:rFonts w:ascii="Calibri" w:hAnsi="Calibri" w:cs="Calibri"/>
          <w:color w:val="000000"/>
          <w:sz w:val="22"/>
          <w:szCs w:val="22"/>
        </w:rPr>
        <w:t xml:space="preserve"> w</w:t>
      </w:r>
      <w:r w:rsidR="00FF153D" w:rsidRPr="00FF153D">
        <w:rPr>
          <w:rFonts w:ascii="Calibri" w:hAnsi="Calibri" w:cs="Calibri"/>
          <w:color w:val="000000"/>
          <w:sz w:val="22"/>
          <w:szCs w:val="22"/>
        </w:rPr>
        <w:t xml:space="preserve"> którym Doradca określi</w:t>
      </w:r>
      <w:r w:rsidR="00FF153D" w:rsidRPr="00FF153D">
        <w:rPr>
          <w:rFonts w:ascii="Calibri" w:hAnsi="Calibri"/>
          <w:color w:val="000000"/>
          <w:sz w:val="22"/>
          <w:szCs w:val="22"/>
        </w:rPr>
        <w:t xml:space="preserve"> ścieżkę  postępowania w c</w:t>
      </w:r>
      <w:r w:rsidR="00FF153D">
        <w:rPr>
          <w:rFonts w:ascii="Calibri" w:hAnsi="Calibri"/>
          <w:color w:val="000000"/>
          <w:sz w:val="22"/>
          <w:szCs w:val="22"/>
        </w:rPr>
        <w:t>elu rozwiązania</w:t>
      </w:r>
      <w:r w:rsidR="00FF153D" w:rsidRPr="00FF153D">
        <w:rPr>
          <w:rFonts w:ascii="Calibri" w:hAnsi="Calibri"/>
          <w:color w:val="000000"/>
          <w:sz w:val="22"/>
          <w:szCs w:val="22"/>
        </w:rPr>
        <w:t xml:space="preserve"> </w:t>
      </w:r>
      <w:r w:rsidR="00FF153D">
        <w:rPr>
          <w:rFonts w:ascii="Calibri" w:hAnsi="Calibri"/>
          <w:color w:val="000000"/>
          <w:sz w:val="22"/>
          <w:szCs w:val="22"/>
        </w:rPr>
        <w:br/>
        <w:t xml:space="preserve">         </w:t>
      </w:r>
      <w:r w:rsidR="00FF153D" w:rsidRPr="00FF153D">
        <w:rPr>
          <w:rFonts w:ascii="Calibri" w:hAnsi="Calibri"/>
          <w:color w:val="000000"/>
          <w:sz w:val="22"/>
          <w:szCs w:val="22"/>
        </w:rPr>
        <w:t>zdiagnozowanych    problemów.</w:t>
      </w:r>
    </w:p>
    <w:p w:rsidR="00FF153D" w:rsidRDefault="00FF153D" w:rsidP="00FF153D">
      <w:pPr>
        <w:pStyle w:val="Akapitzlist1"/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F153D" w:rsidRDefault="00FF153D" w:rsidP="008F3930">
      <w:pPr>
        <w:pStyle w:val="Akapitzlist1"/>
        <w:numPr>
          <w:ilvl w:val="1"/>
          <w:numId w:val="7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B2704A">
        <w:rPr>
          <w:rFonts w:ascii="Calibri" w:hAnsi="Calibri"/>
          <w:color w:val="000000"/>
          <w:sz w:val="22"/>
          <w:szCs w:val="22"/>
          <w:u w:val="single"/>
        </w:rPr>
        <w:lastRenderedPageBreak/>
        <w:t>Etap II</w:t>
      </w:r>
      <w:r w:rsidRPr="000F5C9D">
        <w:rPr>
          <w:rFonts w:ascii="Calibri" w:hAnsi="Calibri"/>
          <w:color w:val="000000"/>
          <w:sz w:val="22"/>
          <w:szCs w:val="22"/>
        </w:rPr>
        <w:t xml:space="preserve">: </w:t>
      </w:r>
      <w:r>
        <w:rPr>
          <w:rFonts w:ascii="Calibri" w:hAnsi="Calibri"/>
          <w:color w:val="000000"/>
          <w:sz w:val="22"/>
          <w:szCs w:val="22"/>
        </w:rPr>
        <w:t xml:space="preserve"> Obejmujący </w:t>
      </w:r>
      <w:r w:rsidRPr="000F5C9D">
        <w:rPr>
          <w:rFonts w:ascii="Calibri" w:hAnsi="Calibri"/>
          <w:color w:val="000000"/>
          <w:sz w:val="22"/>
          <w:szCs w:val="22"/>
        </w:rPr>
        <w:t xml:space="preserve">działania w ramach usługi doradczej wynikające z uprzednio przeprowadzonej diagnozy. Celem doradztwa będzie rozwiązanie lub przedstawienie propozycji rozwiązania konkretnego problemu a efektem opracowanie i/lub wdrożenie określonych usprawnień i działań w obszarze objętym usługą doradczą (za wyjątkiem doradztwa inwestycyjnego). </w:t>
      </w:r>
    </w:p>
    <w:p w:rsidR="00FF153D" w:rsidRPr="00FF153D" w:rsidRDefault="00F32CF9" w:rsidP="008F3930">
      <w:pPr>
        <w:pStyle w:val="Akapitzlist1"/>
        <w:numPr>
          <w:ilvl w:val="1"/>
          <w:numId w:val="7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E43141">
        <w:rPr>
          <w:rFonts w:ascii="Calibri" w:hAnsi="Calibri"/>
          <w:b/>
          <w:color w:val="000000"/>
          <w:sz w:val="22"/>
          <w:szCs w:val="22"/>
        </w:rPr>
        <w:t>Usługę z</w:t>
      </w:r>
      <w:r w:rsidR="00FF153D" w:rsidRPr="00E43141">
        <w:rPr>
          <w:rFonts w:ascii="Calibri" w:hAnsi="Calibri"/>
          <w:b/>
          <w:color w:val="000000"/>
          <w:sz w:val="22"/>
          <w:szCs w:val="22"/>
        </w:rPr>
        <w:t>a wykonaną uznaje się wówczas, gdy oba etapy zostaną wykonane</w:t>
      </w:r>
      <w:r w:rsidR="00FF153D" w:rsidRPr="00B019CD">
        <w:rPr>
          <w:rFonts w:ascii="Calibri" w:hAnsi="Calibri"/>
          <w:color w:val="000000"/>
          <w:sz w:val="22"/>
          <w:szCs w:val="22"/>
        </w:rPr>
        <w:t>.</w:t>
      </w:r>
      <w:r w:rsidR="00FF153D">
        <w:rPr>
          <w:rFonts w:ascii="Calibri" w:hAnsi="Calibri"/>
          <w:color w:val="000000"/>
          <w:sz w:val="22"/>
          <w:szCs w:val="22"/>
        </w:rPr>
        <w:t xml:space="preserve">  </w:t>
      </w:r>
      <w:r w:rsidR="00E43141">
        <w:rPr>
          <w:rFonts w:ascii="Calibri" w:hAnsi="Calibri"/>
          <w:color w:val="000000"/>
          <w:sz w:val="22"/>
          <w:szCs w:val="22"/>
        </w:rPr>
        <w:br/>
      </w:r>
      <w:r w:rsidR="00FF153D">
        <w:rPr>
          <w:rFonts w:ascii="Calibri" w:hAnsi="Calibri"/>
          <w:color w:val="000000"/>
          <w:sz w:val="22"/>
          <w:szCs w:val="22"/>
        </w:rPr>
        <w:t>W przypadku, gdy na etapie diagnozy doradca stwierdzi, że zakres usługi oczekiwany przez klienta wykracza poza zakres określony w pkt. 7, należy odmó</w:t>
      </w:r>
      <w:r w:rsidR="008F3930">
        <w:rPr>
          <w:rFonts w:ascii="Calibri" w:hAnsi="Calibri"/>
          <w:color w:val="000000"/>
          <w:sz w:val="22"/>
          <w:szCs w:val="22"/>
        </w:rPr>
        <w:t xml:space="preserve">wić wykonania dalszej usługi.  </w:t>
      </w:r>
      <w:r w:rsidR="00FF153D">
        <w:rPr>
          <w:rFonts w:ascii="Calibri" w:hAnsi="Calibri"/>
          <w:color w:val="000000"/>
          <w:sz w:val="22"/>
          <w:szCs w:val="22"/>
        </w:rPr>
        <w:t>W takim przypadku usługa nie  będzie  wykonana, a Zamawiający nie zapłaci Wykonawcy za przeprowadzony etap I usługi tj. diagnoza.</w:t>
      </w:r>
    </w:p>
    <w:p w:rsidR="009B1048" w:rsidRPr="00007DF2" w:rsidRDefault="009B1048" w:rsidP="00CF7203">
      <w:pPr>
        <w:pStyle w:val="Akapitzlist"/>
        <w:numPr>
          <w:ilvl w:val="0"/>
          <w:numId w:val="1"/>
        </w:numPr>
        <w:jc w:val="both"/>
        <w:rPr>
          <w:b/>
        </w:rPr>
      </w:pPr>
      <w:r w:rsidRPr="00762316">
        <w:rPr>
          <w:b/>
        </w:rPr>
        <w:t xml:space="preserve">Usługa doradcza nie może stanowić elementu stałej lub okresowej działalności ani też bieżących kosztów operacyjnych przedsiębiorstwa np. usługi w zakresie doradztwa podatkowego, reklamy, regularnych usług prawnych. Usługa ma na celu wprowadzanie innowacji w przedsiębiorstwach. </w:t>
      </w:r>
    </w:p>
    <w:p w:rsidR="009B1048" w:rsidRPr="00180B5E" w:rsidRDefault="009B1048" w:rsidP="00CF7203">
      <w:pPr>
        <w:pStyle w:val="Akapitzlist"/>
        <w:numPr>
          <w:ilvl w:val="0"/>
          <w:numId w:val="1"/>
        </w:numPr>
        <w:jc w:val="both"/>
      </w:pPr>
      <w:r w:rsidRPr="00180B5E">
        <w:t>Usługi doradcze będą świadczone na rzecz B</w:t>
      </w:r>
      <w:r>
        <w:t xml:space="preserve">eneficjenta </w:t>
      </w:r>
      <w:r w:rsidRPr="00180B5E">
        <w:t>O</w:t>
      </w:r>
      <w:r>
        <w:t>statecznego</w:t>
      </w:r>
      <w:r w:rsidRPr="00180B5E">
        <w:t xml:space="preserve"> po zgłoszeniu zapotrzebowania na świadczenie usług przez Zamawiającego. Za rekrutację B</w:t>
      </w:r>
      <w:r>
        <w:t xml:space="preserve">eneficjenta </w:t>
      </w:r>
      <w:r w:rsidRPr="00180B5E">
        <w:t>O</w:t>
      </w:r>
      <w:r>
        <w:t>statecznego</w:t>
      </w:r>
      <w:r w:rsidRPr="00180B5E">
        <w:t xml:space="preserve"> odpowiada Zamawiający.</w:t>
      </w:r>
    </w:p>
    <w:p w:rsidR="009B1048" w:rsidRPr="00180B5E" w:rsidRDefault="009B1048" w:rsidP="00CF7203">
      <w:pPr>
        <w:pStyle w:val="Akapitzlist"/>
        <w:numPr>
          <w:ilvl w:val="0"/>
          <w:numId w:val="1"/>
        </w:numPr>
        <w:jc w:val="both"/>
      </w:pPr>
      <w:r w:rsidRPr="00180B5E">
        <w:t>Wykonawca jest zobowiązany do rozpoczęcia świadczenia usługi doradztwa  na rzecz B</w:t>
      </w:r>
      <w:r>
        <w:t xml:space="preserve">eneficjenta </w:t>
      </w:r>
      <w:r w:rsidRPr="00180B5E">
        <w:t>O</w:t>
      </w:r>
      <w:r>
        <w:t>statecznego</w:t>
      </w:r>
      <w:r w:rsidRPr="00180B5E">
        <w:t xml:space="preserve"> w czasie nie dłuższym niż 2 dni robocze od dnia przekazania przez Zamawiającego informacji o zapotrzebowaniu na świadczenie usługi. Od momentu rozpoczęcia świadczenia doradztwa do momentu zakończeniu usługi na rzecz jednego B</w:t>
      </w:r>
      <w:r>
        <w:t xml:space="preserve">eneficjenta </w:t>
      </w:r>
      <w:r w:rsidRPr="00180B5E">
        <w:t>O</w:t>
      </w:r>
      <w:r>
        <w:t>statecznego</w:t>
      </w:r>
      <w:r w:rsidRPr="00180B5E">
        <w:t xml:space="preserve"> nie powinno upłynąć więcej niż 15 dni roboczych. W szczególnych wypadkach okres ten może ulec wydłużeniu, po każdorazowym zawiadomieniu Zamawiającego i uzyskaniu od niego pisemnej zgody na wydłużenie terminu świadczenia usługi.</w:t>
      </w:r>
    </w:p>
    <w:p w:rsidR="009B1048" w:rsidRPr="00180B5E" w:rsidRDefault="009B1048" w:rsidP="00DE3DB5">
      <w:pPr>
        <w:pStyle w:val="Akapitzlist"/>
        <w:numPr>
          <w:ilvl w:val="0"/>
          <w:numId w:val="1"/>
        </w:numPr>
        <w:jc w:val="both"/>
      </w:pPr>
      <w:r w:rsidRPr="00180B5E">
        <w:t xml:space="preserve">Wykonawca będzie zobowiązany do przedstawienia karty doradztwa (zgodnej ze wzorem przekazanym przez Zamawiającego) dla każdego </w:t>
      </w:r>
      <w:r w:rsidRPr="00DE3DB5">
        <w:t>Beneficjenta Ostatecznego</w:t>
      </w:r>
      <w:r w:rsidRPr="00180B5E">
        <w:t xml:space="preserve"> indywidualnie, potwierdzającej wykonanie usługi</w:t>
      </w:r>
      <w:r>
        <w:t xml:space="preserve"> (wzór stanowi załącznik do projektu umowy)</w:t>
      </w:r>
      <w:r w:rsidRPr="00180B5E">
        <w:t xml:space="preserve">. Ponadto Wykonawca zobowiązany będzie do przedstawienia zbiorczego miesięcznego zestawienia </w:t>
      </w:r>
      <w:r w:rsidR="00E43141">
        <w:br/>
      </w:r>
      <w:r w:rsidRPr="00180B5E">
        <w:t>z udzielonych usług – zgodnie ze wzorem przekazanym przez Zamawiającego.</w:t>
      </w:r>
    </w:p>
    <w:p w:rsidR="00FD6F7D" w:rsidRPr="00D769F2" w:rsidRDefault="00FD6F7D" w:rsidP="00FD6F7D">
      <w:pPr>
        <w:pStyle w:val="Akapitzlist"/>
        <w:numPr>
          <w:ilvl w:val="0"/>
          <w:numId w:val="1"/>
        </w:numPr>
        <w:jc w:val="both"/>
        <w:rPr>
          <w:b/>
        </w:rPr>
      </w:pPr>
      <w:r w:rsidRPr="00AA1078">
        <w:t xml:space="preserve">Wykonawca będzie zobowiązany do wypełnienia zadań w zakresie oznaczania projektów </w:t>
      </w:r>
      <w:r w:rsidR="00E43141">
        <w:br/>
      </w:r>
      <w:r w:rsidRPr="00AA1078">
        <w:t xml:space="preserve">w ramach Programu Operacyjnego Kapitał Ludzki: </w:t>
      </w:r>
      <w:r w:rsidRPr="00FD058C">
        <w:rPr>
          <w:b/>
        </w:rPr>
        <w:t xml:space="preserve">wszystkie dokumenty związane </w:t>
      </w:r>
      <w:r w:rsidR="00E43141">
        <w:rPr>
          <w:b/>
        </w:rPr>
        <w:br/>
      </w:r>
      <w:r w:rsidRPr="00FD058C">
        <w:rPr>
          <w:b/>
        </w:rPr>
        <w:t>z realizacją usługi oznaczone będą logiem Unii Europejskiej, EFS i PO KL oraz informacją: „Projekt  współfinansowany przez Unię Europejską w ramach Europejskiego Funduszu Społecznego”, zgodnie z Wytycznymi Ministerstwa Rozwoju Regionalnego dotyczącymi oznaczania projektów w ramach Programu Operacyjnego Kapitał Ludzki</w:t>
      </w:r>
      <w:r w:rsidR="008F3930">
        <w:rPr>
          <w:b/>
        </w:rPr>
        <w:t>.</w:t>
      </w:r>
    </w:p>
    <w:p w:rsidR="00FD6F7D" w:rsidRPr="00AA1078" w:rsidRDefault="00FD6F7D" w:rsidP="00FD6F7D">
      <w:pPr>
        <w:pStyle w:val="Akapitzlist"/>
        <w:numPr>
          <w:ilvl w:val="0"/>
          <w:numId w:val="1"/>
        </w:numPr>
        <w:jc w:val="both"/>
      </w:pPr>
      <w:r w:rsidRPr="00AA1078">
        <w:t>Wykonawca zobowiązany będzie umożliwić Zamawiającemu w każdym momencie świadczenia usługi wgląd do dokumentów związanych z realizacją usługi oraz umożliwić koordynowanie oraz monitorowanie doradztwa przez Zamawiającego</w:t>
      </w:r>
      <w:r w:rsidR="008F3930">
        <w:t>.</w:t>
      </w:r>
    </w:p>
    <w:p w:rsidR="009B1048" w:rsidRPr="00180B5E" w:rsidRDefault="009B1048" w:rsidP="00AF7EC7">
      <w:pPr>
        <w:pStyle w:val="Akapitzlist"/>
        <w:jc w:val="both"/>
      </w:pPr>
    </w:p>
    <w:sectPr w:rsidR="009B1048" w:rsidRPr="00180B5E" w:rsidSect="00DB3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83" w:rsidRDefault="00880583" w:rsidP="00E30E2E">
      <w:pPr>
        <w:spacing w:after="0" w:line="240" w:lineRule="auto"/>
      </w:pPr>
      <w:r>
        <w:separator/>
      </w:r>
    </w:p>
  </w:endnote>
  <w:endnote w:type="continuationSeparator" w:id="0">
    <w:p w:rsidR="00880583" w:rsidRDefault="00880583" w:rsidP="00E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48" w:rsidRPr="00E30E2E" w:rsidRDefault="009B1048">
    <w:pPr>
      <w:pStyle w:val="Stopka"/>
      <w:rPr>
        <w:rFonts w:ascii="Times New Roman" w:hAnsi="Times New Roman"/>
      </w:rPr>
    </w:pPr>
    <w:r w:rsidRPr="00E30E2E">
      <w:rPr>
        <w:rFonts w:ascii="Times New Roman" w:hAnsi="Times New Roman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83" w:rsidRDefault="00880583" w:rsidP="00E30E2E">
      <w:pPr>
        <w:spacing w:after="0" w:line="240" w:lineRule="auto"/>
      </w:pPr>
      <w:r>
        <w:separator/>
      </w:r>
    </w:p>
  </w:footnote>
  <w:footnote w:type="continuationSeparator" w:id="0">
    <w:p w:rsidR="00880583" w:rsidRDefault="00880583" w:rsidP="00E3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48" w:rsidRDefault="008806D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-363855</wp:posOffset>
          </wp:positionV>
          <wp:extent cx="1866900" cy="914400"/>
          <wp:effectExtent l="19050" t="0" r="0" b="0"/>
          <wp:wrapNone/>
          <wp:docPr id="1" name="Obraz 1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4138930</wp:posOffset>
          </wp:positionH>
          <wp:positionV relativeFrom="paragraph">
            <wp:posOffset>-240030</wp:posOffset>
          </wp:positionV>
          <wp:extent cx="1704975" cy="628650"/>
          <wp:effectExtent l="19050" t="0" r="9525" b="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B1048" w:rsidRDefault="009B10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6B88"/>
    <w:multiLevelType w:val="hybridMultilevel"/>
    <w:tmpl w:val="6AF6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FF4B20"/>
    <w:multiLevelType w:val="hybridMultilevel"/>
    <w:tmpl w:val="CAB07DC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C470378"/>
    <w:multiLevelType w:val="hybridMultilevel"/>
    <w:tmpl w:val="00FE507A"/>
    <w:lvl w:ilvl="0" w:tplc="EDF43F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402E78"/>
    <w:multiLevelType w:val="multilevel"/>
    <w:tmpl w:val="1532A6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4">
    <w:nsid w:val="6B3E050B"/>
    <w:multiLevelType w:val="hybridMultilevel"/>
    <w:tmpl w:val="3326C9D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C57AF5"/>
    <w:multiLevelType w:val="hybridMultilevel"/>
    <w:tmpl w:val="768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433E52"/>
    <w:multiLevelType w:val="multilevel"/>
    <w:tmpl w:val="320E9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E2E"/>
    <w:rsid w:val="00007DF2"/>
    <w:rsid w:val="00014A3B"/>
    <w:rsid w:val="000315D7"/>
    <w:rsid w:val="000467BD"/>
    <w:rsid w:val="00046E4A"/>
    <w:rsid w:val="00056458"/>
    <w:rsid w:val="00063C4B"/>
    <w:rsid w:val="000775AE"/>
    <w:rsid w:val="00087816"/>
    <w:rsid w:val="000A7E72"/>
    <w:rsid w:val="000D5559"/>
    <w:rsid w:val="000E79D0"/>
    <w:rsid w:val="00106B72"/>
    <w:rsid w:val="00127705"/>
    <w:rsid w:val="00180B5E"/>
    <w:rsid w:val="001834D1"/>
    <w:rsid w:val="00183704"/>
    <w:rsid w:val="00191814"/>
    <w:rsid w:val="001B3A80"/>
    <w:rsid w:val="001B74A3"/>
    <w:rsid w:val="001B7BA0"/>
    <w:rsid w:val="001F1286"/>
    <w:rsid w:val="00200694"/>
    <w:rsid w:val="00202892"/>
    <w:rsid w:val="00224C8D"/>
    <w:rsid w:val="0023471F"/>
    <w:rsid w:val="002427C6"/>
    <w:rsid w:val="00261CAC"/>
    <w:rsid w:val="00262DFB"/>
    <w:rsid w:val="00286056"/>
    <w:rsid w:val="0029638A"/>
    <w:rsid w:val="002B3A49"/>
    <w:rsid w:val="002E168C"/>
    <w:rsid w:val="002E458A"/>
    <w:rsid w:val="002F666F"/>
    <w:rsid w:val="002F7702"/>
    <w:rsid w:val="0030352E"/>
    <w:rsid w:val="00320764"/>
    <w:rsid w:val="003220E0"/>
    <w:rsid w:val="00323C57"/>
    <w:rsid w:val="003338AA"/>
    <w:rsid w:val="003567E9"/>
    <w:rsid w:val="00365ED3"/>
    <w:rsid w:val="003669B7"/>
    <w:rsid w:val="00367039"/>
    <w:rsid w:val="00373627"/>
    <w:rsid w:val="0038787C"/>
    <w:rsid w:val="003938B1"/>
    <w:rsid w:val="003B0491"/>
    <w:rsid w:val="003C262A"/>
    <w:rsid w:val="003D1BC0"/>
    <w:rsid w:val="003D1C71"/>
    <w:rsid w:val="003F454E"/>
    <w:rsid w:val="004119E6"/>
    <w:rsid w:val="00415A51"/>
    <w:rsid w:val="00426681"/>
    <w:rsid w:val="00437BD1"/>
    <w:rsid w:val="0045762F"/>
    <w:rsid w:val="004A3601"/>
    <w:rsid w:val="004B0FAF"/>
    <w:rsid w:val="004B3A6A"/>
    <w:rsid w:val="004C0F30"/>
    <w:rsid w:val="004C7776"/>
    <w:rsid w:val="004D1A85"/>
    <w:rsid w:val="004E006A"/>
    <w:rsid w:val="004E4F90"/>
    <w:rsid w:val="004F1538"/>
    <w:rsid w:val="004F2957"/>
    <w:rsid w:val="00500B5B"/>
    <w:rsid w:val="00516C6C"/>
    <w:rsid w:val="00517C8C"/>
    <w:rsid w:val="0053155B"/>
    <w:rsid w:val="005469EE"/>
    <w:rsid w:val="0054742F"/>
    <w:rsid w:val="00557048"/>
    <w:rsid w:val="00563FD7"/>
    <w:rsid w:val="005828CC"/>
    <w:rsid w:val="005921A7"/>
    <w:rsid w:val="00595AE0"/>
    <w:rsid w:val="005A4743"/>
    <w:rsid w:val="005A52D2"/>
    <w:rsid w:val="005A52E1"/>
    <w:rsid w:val="005C265B"/>
    <w:rsid w:val="005C30E3"/>
    <w:rsid w:val="005D1F16"/>
    <w:rsid w:val="005E1A2C"/>
    <w:rsid w:val="005F494F"/>
    <w:rsid w:val="00616097"/>
    <w:rsid w:val="0064541B"/>
    <w:rsid w:val="006603E5"/>
    <w:rsid w:val="00664E2E"/>
    <w:rsid w:val="00677314"/>
    <w:rsid w:val="006C0DC4"/>
    <w:rsid w:val="006C428A"/>
    <w:rsid w:val="006D2B50"/>
    <w:rsid w:val="006D37E9"/>
    <w:rsid w:val="006D42F2"/>
    <w:rsid w:val="006E2783"/>
    <w:rsid w:val="00704C1C"/>
    <w:rsid w:val="00716753"/>
    <w:rsid w:val="007359F3"/>
    <w:rsid w:val="00750016"/>
    <w:rsid w:val="00752089"/>
    <w:rsid w:val="00762316"/>
    <w:rsid w:val="0076657F"/>
    <w:rsid w:val="007941C5"/>
    <w:rsid w:val="007A16A6"/>
    <w:rsid w:val="007A727A"/>
    <w:rsid w:val="007B00FA"/>
    <w:rsid w:val="007B4010"/>
    <w:rsid w:val="007C7269"/>
    <w:rsid w:val="007E6B13"/>
    <w:rsid w:val="008065AC"/>
    <w:rsid w:val="008331E6"/>
    <w:rsid w:val="0086284B"/>
    <w:rsid w:val="00880583"/>
    <w:rsid w:val="008806DA"/>
    <w:rsid w:val="00885629"/>
    <w:rsid w:val="0088760F"/>
    <w:rsid w:val="0088767F"/>
    <w:rsid w:val="00896B2C"/>
    <w:rsid w:val="008B557E"/>
    <w:rsid w:val="008D6189"/>
    <w:rsid w:val="008D7E19"/>
    <w:rsid w:val="008F01CA"/>
    <w:rsid w:val="008F3930"/>
    <w:rsid w:val="008F5E8B"/>
    <w:rsid w:val="00934B77"/>
    <w:rsid w:val="009366C8"/>
    <w:rsid w:val="00956534"/>
    <w:rsid w:val="00956DA2"/>
    <w:rsid w:val="00957991"/>
    <w:rsid w:val="00976313"/>
    <w:rsid w:val="009849AF"/>
    <w:rsid w:val="00990D0A"/>
    <w:rsid w:val="00993F34"/>
    <w:rsid w:val="009A1040"/>
    <w:rsid w:val="009B1048"/>
    <w:rsid w:val="009B211F"/>
    <w:rsid w:val="009E418A"/>
    <w:rsid w:val="00A176C7"/>
    <w:rsid w:val="00A25AFD"/>
    <w:rsid w:val="00A347A7"/>
    <w:rsid w:val="00A36166"/>
    <w:rsid w:val="00A42BEC"/>
    <w:rsid w:val="00A442F4"/>
    <w:rsid w:val="00A71243"/>
    <w:rsid w:val="00A828B9"/>
    <w:rsid w:val="00AA03FA"/>
    <w:rsid w:val="00AA1D25"/>
    <w:rsid w:val="00AB3811"/>
    <w:rsid w:val="00AB6229"/>
    <w:rsid w:val="00AD559B"/>
    <w:rsid w:val="00AD6F57"/>
    <w:rsid w:val="00AF7EC7"/>
    <w:rsid w:val="00B0458F"/>
    <w:rsid w:val="00B1185D"/>
    <w:rsid w:val="00B54002"/>
    <w:rsid w:val="00B5436F"/>
    <w:rsid w:val="00B75339"/>
    <w:rsid w:val="00B91C0E"/>
    <w:rsid w:val="00BB3903"/>
    <w:rsid w:val="00BC09FF"/>
    <w:rsid w:val="00BE010F"/>
    <w:rsid w:val="00BE56AE"/>
    <w:rsid w:val="00BF1A61"/>
    <w:rsid w:val="00C01A15"/>
    <w:rsid w:val="00C07384"/>
    <w:rsid w:val="00C175D5"/>
    <w:rsid w:val="00C253B0"/>
    <w:rsid w:val="00C27172"/>
    <w:rsid w:val="00C41E6F"/>
    <w:rsid w:val="00C72F6F"/>
    <w:rsid w:val="00C811AD"/>
    <w:rsid w:val="00C91962"/>
    <w:rsid w:val="00CA4354"/>
    <w:rsid w:val="00CD00E4"/>
    <w:rsid w:val="00CE0141"/>
    <w:rsid w:val="00CF7203"/>
    <w:rsid w:val="00D2330F"/>
    <w:rsid w:val="00D264F5"/>
    <w:rsid w:val="00D34941"/>
    <w:rsid w:val="00D45BBE"/>
    <w:rsid w:val="00D54B6A"/>
    <w:rsid w:val="00D6000F"/>
    <w:rsid w:val="00D6704F"/>
    <w:rsid w:val="00D753C3"/>
    <w:rsid w:val="00D84923"/>
    <w:rsid w:val="00DB13F2"/>
    <w:rsid w:val="00DB32BD"/>
    <w:rsid w:val="00DB422A"/>
    <w:rsid w:val="00DE0339"/>
    <w:rsid w:val="00DE3DB5"/>
    <w:rsid w:val="00E2063F"/>
    <w:rsid w:val="00E21F6D"/>
    <w:rsid w:val="00E30E2E"/>
    <w:rsid w:val="00E42553"/>
    <w:rsid w:val="00E43141"/>
    <w:rsid w:val="00E66AF7"/>
    <w:rsid w:val="00E755D4"/>
    <w:rsid w:val="00E936F6"/>
    <w:rsid w:val="00EC1102"/>
    <w:rsid w:val="00EC50B6"/>
    <w:rsid w:val="00EF5220"/>
    <w:rsid w:val="00EF65A1"/>
    <w:rsid w:val="00F01249"/>
    <w:rsid w:val="00F03126"/>
    <w:rsid w:val="00F12E6A"/>
    <w:rsid w:val="00F166E2"/>
    <w:rsid w:val="00F2070A"/>
    <w:rsid w:val="00F32CF9"/>
    <w:rsid w:val="00F43577"/>
    <w:rsid w:val="00F43BC5"/>
    <w:rsid w:val="00F4418D"/>
    <w:rsid w:val="00F54B3D"/>
    <w:rsid w:val="00F90C1B"/>
    <w:rsid w:val="00FA0141"/>
    <w:rsid w:val="00FA2415"/>
    <w:rsid w:val="00FC5C84"/>
    <w:rsid w:val="00FD5154"/>
    <w:rsid w:val="00FD6F7D"/>
    <w:rsid w:val="00FE0D72"/>
    <w:rsid w:val="00FE2DA0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0E2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30E2E"/>
    <w:rPr>
      <w:rFonts w:cs="Times New Roman"/>
    </w:rPr>
  </w:style>
  <w:style w:type="paragraph" w:styleId="Akapitzlist">
    <w:name w:val="List Paragraph"/>
    <w:basedOn w:val="Normalny"/>
    <w:uiPriority w:val="99"/>
    <w:qFormat/>
    <w:rsid w:val="006E27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570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704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7048"/>
    <w:rPr>
      <w:rFonts w:cs="Times New Roman"/>
      <w:vertAlign w:val="superscript"/>
    </w:rPr>
  </w:style>
  <w:style w:type="paragraph" w:customStyle="1" w:styleId="Default">
    <w:name w:val="Default"/>
    <w:uiPriority w:val="99"/>
    <w:rsid w:val="004A3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F65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6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F65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6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65A1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FF15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ZP/23/11/DO</vt:lpstr>
    </vt:vector>
  </TitlesOfParts>
  <Company>Acer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ZP/23/11/DO</dc:title>
  <dc:creator>Piotr Rusocki</dc:creator>
  <cp:lastModifiedBy>Natalia</cp:lastModifiedBy>
  <cp:revision>8</cp:revision>
  <cp:lastPrinted>2011-12-05T14:09:00Z</cp:lastPrinted>
  <dcterms:created xsi:type="dcterms:W3CDTF">2012-01-02T11:40:00Z</dcterms:created>
  <dcterms:modified xsi:type="dcterms:W3CDTF">2012-01-13T12:10:00Z</dcterms:modified>
</cp:coreProperties>
</file>